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E66C" w14:textId="77777777" w:rsidR="00BC440D" w:rsidRDefault="00BC440D" w:rsidP="00BC440D">
      <w:pPr>
        <w:pStyle w:val="Bodytext30"/>
        <w:shd w:val="clear" w:color="auto" w:fill="auto"/>
        <w:spacing w:after="0" w:line="280" w:lineRule="exact"/>
        <w:ind w:right="20"/>
        <w:outlineLvl w:val="0"/>
      </w:pPr>
      <w:r>
        <w:t>ДОКЛАД</w:t>
      </w:r>
    </w:p>
    <w:p w14:paraId="110F7702" w14:textId="3188B777" w:rsidR="00BC440D" w:rsidRDefault="00BC440D" w:rsidP="00BC440D">
      <w:pPr>
        <w:pStyle w:val="Bodytext30"/>
        <w:shd w:val="clear" w:color="auto" w:fill="auto"/>
        <w:spacing w:after="300" w:line="322" w:lineRule="exact"/>
        <w:ind w:right="20"/>
      </w:pPr>
      <w:r>
        <w:t>об организации системы внутреннего обеспечения</w:t>
      </w:r>
      <w:r>
        <w:br/>
        <w:t>соответствия требованиям антимонопольного законодательства</w:t>
      </w:r>
      <w:r>
        <w:br/>
        <w:t xml:space="preserve">(антимонопольный комплаенс) </w:t>
      </w:r>
      <w:r w:rsidR="004C1C9D">
        <w:t>по итогам 202</w:t>
      </w:r>
      <w:r w:rsidR="00257EC1">
        <w:t>3</w:t>
      </w:r>
      <w:r w:rsidR="004C1C9D">
        <w:t xml:space="preserve"> года в Министерстве земельных и </w:t>
      </w:r>
      <w:r>
        <w:t>имущественных отношений Республики Татарстан</w:t>
      </w:r>
    </w:p>
    <w:p w14:paraId="5F6F6A12" w14:textId="7DE9A957" w:rsidR="00616D91" w:rsidRDefault="00B348E9" w:rsidP="001865EC">
      <w:pPr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</w:pPr>
      <w:r>
        <w:rPr>
          <w:rFonts w:asciiTheme="majorBidi" w:hAnsiTheme="majorBidi" w:cstheme="majorBidi"/>
          <w:sz w:val="28"/>
          <w:szCs w:val="28"/>
        </w:rPr>
        <w:t xml:space="preserve">Министерством продолжается работа по </w:t>
      </w:r>
      <w:r w:rsidRPr="00371F94">
        <w:rPr>
          <w:rFonts w:asciiTheme="majorBidi" w:hAnsiTheme="majorBidi" w:cstheme="majorBidi"/>
          <w:color w:val="000000" w:themeColor="text1"/>
          <w:sz w:val="28"/>
          <w:szCs w:val="28"/>
        </w:rPr>
        <w:t>реализации мер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371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371F94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>напр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 xml:space="preserve">авленных на соблюдение </w:t>
      </w:r>
      <w:r w:rsidR="00257EC1" w:rsidRPr="00371F94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>требований</w:t>
      </w:r>
      <w:r w:rsidR="00257EC1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gramStart"/>
      <w:r w:rsidR="00257EC1" w:rsidRPr="00371F94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>антимонопольного</w:t>
      </w:r>
      <w:r w:rsidRPr="00371F94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> 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371F94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>з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>аконодательства</w:t>
      </w:r>
      <w:proofErr w:type="gram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 xml:space="preserve"> и предупреждению</w:t>
      </w:r>
      <w:r w:rsidRPr="00371F94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 xml:space="preserve"> его нарушения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>.</w:t>
      </w:r>
    </w:p>
    <w:p w14:paraId="0D03DB9E" w14:textId="27F7DA78" w:rsidR="002C7277" w:rsidRDefault="002C7277" w:rsidP="001865EC">
      <w:pPr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 xml:space="preserve">Ключевыми показателями эффективности функционирования в Министерстве антимонопольного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>компалаенса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BFBFB"/>
        </w:rPr>
        <w:t xml:space="preserve"> являются:</w:t>
      </w:r>
    </w:p>
    <w:p w14:paraId="644AC199" w14:textId="03C3CC85" w:rsidR="002C7277" w:rsidRDefault="002C7277" w:rsidP="001865EC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– коэффициент снижения количества нарушений антимонопольного законодательства со стороны Министерства по сравнению с годом предшествующем двумя годами ранее;</w:t>
      </w:r>
    </w:p>
    <w:p w14:paraId="79A7470A" w14:textId="77777777" w:rsidR="002C7277" w:rsidRDefault="002C7277" w:rsidP="001865EC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– доля проектов нормативных правовых актов, нормативных правовых актов, в которых выявлены риски нарушения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антимнопольного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законодательства;</w:t>
      </w:r>
    </w:p>
    <w:p w14:paraId="76005DD2" w14:textId="64F32D37" w:rsidR="002C7277" w:rsidRDefault="002C7277" w:rsidP="001865EC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– доля сотрудников Министерства,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комплаенсу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74112A6B" w14:textId="77777777" w:rsidR="00E0172A" w:rsidRDefault="00777F0A" w:rsidP="00186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2A">
        <w:rPr>
          <w:rFonts w:asciiTheme="majorBidi" w:eastAsia="Times New Roman" w:hAnsiTheme="majorBidi" w:cstheme="majorBidi"/>
          <w:sz w:val="28"/>
          <w:szCs w:val="28"/>
        </w:rPr>
        <w:t xml:space="preserve">За </w:t>
      </w:r>
      <w:r w:rsidR="002C7277" w:rsidRPr="00E0172A">
        <w:rPr>
          <w:rFonts w:asciiTheme="majorBidi" w:eastAsia="Times New Roman" w:hAnsiTheme="majorBidi" w:cstheme="majorBidi"/>
          <w:sz w:val="28"/>
          <w:szCs w:val="28"/>
        </w:rPr>
        <w:t>2022</w:t>
      </w:r>
      <w:r w:rsidRPr="00E0172A">
        <w:rPr>
          <w:rFonts w:asciiTheme="majorBidi" w:eastAsia="Times New Roman" w:hAnsiTheme="majorBidi" w:cstheme="majorBidi"/>
          <w:sz w:val="28"/>
          <w:szCs w:val="28"/>
        </w:rPr>
        <w:t xml:space="preserve"> год</w:t>
      </w:r>
      <w:r w:rsidR="002C7277" w:rsidRPr="00E0172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A1919" w:rsidRPr="00E0172A">
        <w:rPr>
          <w:rFonts w:ascii="Times New Roman" w:hAnsi="Times New Roman" w:cs="Times New Roman"/>
          <w:sz w:val="28"/>
          <w:szCs w:val="28"/>
        </w:rPr>
        <w:t>с участием Министерства и Управления</w:t>
      </w:r>
      <w:r w:rsidRPr="00E0172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службой по Республике Татарстан</w:t>
      </w:r>
      <w:r w:rsidR="00BA1919" w:rsidRPr="00E0172A">
        <w:rPr>
          <w:rFonts w:ascii="Times New Roman" w:hAnsi="Times New Roman" w:cs="Times New Roman"/>
          <w:sz w:val="28"/>
          <w:szCs w:val="28"/>
        </w:rPr>
        <w:t xml:space="preserve"> было рассмотрено 2 дела. Из них в одном Министерство выступило в качестве ответчика</w:t>
      </w:r>
      <w:r w:rsidRPr="00E0172A">
        <w:rPr>
          <w:rFonts w:ascii="Times New Roman" w:hAnsi="Times New Roman" w:cs="Times New Roman"/>
          <w:sz w:val="28"/>
          <w:szCs w:val="28"/>
        </w:rPr>
        <w:t xml:space="preserve">. </w:t>
      </w:r>
      <w:r w:rsidR="00394B23" w:rsidRPr="00E0172A">
        <w:rPr>
          <w:rFonts w:ascii="Times New Roman" w:hAnsi="Times New Roman" w:cs="Times New Roman"/>
          <w:sz w:val="28"/>
          <w:szCs w:val="28"/>
        </w:rPr>
        <w:t>Решением Комиссии антимонопольного органа Министерство было признано нарушившим ст. 17.1 Закона о защите конкуренции</w:t>
      </w:r>
      <w:r w:rsidR="00F2688C" w:rsidRPr="00E0172A">
        <w:rPr>
          <w:rFonts w:ascii="Times New Roman" w:hAnsi="Times New Roman" w:cs="Times New Roman"/>
          <w:sz w:val="28"/>
          <w:szCs w:val="28"/>
        </w:rPr>
        <w:t xml:space="preserve"> </w:t>
      </w:r>
      <w:r w:rsidR="00394B23" w:rsidRPr="00E0172A">
        <w:rPr>
          <w:rFonts w:ascii="Times New Roman" w:hAnsi="Times New Roman" w:cs="Times New Roman"/>
          <w:sz w:val="28"/>
          <w:szCs w:val="28"/>
        </w:rPr>
        <w:t>в части заключения договора хранения государственного имущества без проведения торгов</w:t>
      </w:r>
      <w:r w:rsidR="00BC21EA" w:rsidRPr="00E0172A">
        <w:rPr>
          <w:rFonts w:ascii="Times New Roman" w:hAnsi="Times New Roman" w:cs="Times New Roman"/>
          <w:sz w:val="28"/>
          <w:szCs w:val="28"/>
        </w:rPr>
        <w:t>.</w:t>
      </w:r>
      <w:r w:rsidR="00394B23" w:rsidRPr="00E017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2294E" w14:textId="2D48A999" w:rsidR="00777F0A" w:rsidRDefault="00F2688C" w:rsidP="00186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2A">
        <w:rPr>
          <w:rFonts w:ascii="Times New Roman" w:hAnsi="Times New Roman" w:cs="Times New Roman"/>
          <w:sz w:val="28"/>
          <w:szCs w:val="28"/>
        </w:rPr>
        <w:t xml:space="preserve">За 2021 год – 1 производство. </w:t>
      </w:r>
      <w:r w:rsidR="00BC21EA" w:rsidRPr="00E0172A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BA1919" w:rsidRPr="00E0172A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3D4481" w:rsidRPr="00E0172A">
        <w:rPr>
          <w:rFonts w:ascii="Times New Roman" w:hAnsi="Times New Roman" w:cs="Times New Roman"/>
          <w:sz w:val="28"/>
          <w:szCs w:val="28"/>
        </w:rPr>
        <w:t xml:space="preserve">из указанных </w:t>
      </w:r>
      <w:r w:rsidR="00BA1919" w:rsidRPr="00E0172A">
        <w:rPr>
          <w:rFonts w:ascii="Times New Roman" w:hAnsi="Times New Roman" w:cs="Times New Roman"/>
          <w:sz w:val="28"/>
          <w:szCs w:val="28"/>
        </w:rPr>
        <w:t>Министерство было привлечено в качестве третьего лица.</w:t>
      </w:r>
      <w:r w:rsidR="00BA1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F1917" w14:textId="36DE0DD2" w:rsidR="00171DB0" w:rsidRPr="00424E95" w:rsidRDefault="00AB4BF5" w:rsidP="001865E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1DB0" w:rsidRPr="0042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отрудники Министерства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приняли</w:t>
      </w:r>
      <w:r w:rsidR="00424E95" w:rsidRPr="0042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B0" w:rsidRPr="0042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Публичных обсуждениях правоприменительной практики Татарстанского УФАС России, которые </w:t>
      </w:r>
      <w:r w:rsidR="00424E95" w:rsidRPr="0042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 </w:t>
      </w:r>
      <w:r w:rsidR="00171DB0" w:rsidRPr="0042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171DB0" w:rsidRPr="00424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базе ФГАУ «Учебно-методический центр ФАС </w:t>
      </w:r>
      <w:r w:rsidR="00171DB0" w:rsidRPr="00424E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России</w:t>
      </w:r>
      <w:r w:rsidR="00171DB0" w:rsidRPr="00424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171DB0" w:rsidRPr="0042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203BD46E" w14:textId="77777777" w:rsidR="001865EC" w:rsidRDefault="003D4481" w:rsidP="001865EC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коэффициент </w:t>
      </w:r>
      <w:r>
        <w:rPr>
          <w:rFonts w:asciiTheme="majorBidi" w:eastAsia="Times New Roman" w:hAnsiTheme="majorBidi" w:cstheme="majorBidi"/>
          <w:sz w:val="28"/>
          <w:szCs w:val="28"/>
        </w:rPr>
        <w:t>снижения количества нарушений антимонопольного законодательства</w:t>
      </w:r>
      <w:r w:rsidR="001865EC">
        <w:rPr>
          <w:rFonts w:asciiTheme="majorBidi" w:eastAsia="Times New Roman" w:hAnsiTheme="majorBidi" w:cstheme="majorBidi"/>
          <w:sz w:val="28"/>
          <w:szCs w:val="28"/>
        </w:rPr>
        <w:t xml:space="preserve"> остается на прежнем уровне. </w:t>
      </w:r>
    </w:p>
    <w:p w14:paraId="1ED5B9F2" w14:textId="2988DBAA" w:rsidR="001865EC" w:rsidRPr="001865EC" w:rsidRDefault="001865EC" w:rsidP="00186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EC">
        <w:rPr>
          <w:rFonts w:ascii="Times New Roman" w:hAnsi="Times New Roman" w:cs="Times New Roman"/>
          <w:sz w:val="28"/>
          <w:szCs w:val="28"/>
        </w:rPr>
        <w:t>В целях выявления и исключения комплаенс-рисков в нормотворческой деятельности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1865EC">
        <w:rPr>
          <w:rFonts w:ascii="Times New Roman" w:hAnsi="Times New Roman" w:cs="Times New Roman"/>
          <w:sz w:val="28"/>
          <w:szCs w:val="28"/>
        </w:rPr>
        <w:t>веден анализ нормативных правовых актов Министерства на соответствие их антимонопольному законодательству. Для этого сформирован и размещен на официальном сайте Министерства исчерпывающий перечень нормативных правовых актов Министерства с уведомлением о начале сбора замечаний и предложений организаций и граждан.</w:t>
      </w:r>
    </w:p>
    <w:p w14:paraId="16B3C8D7" w14:textId="77777777" w:rsidR="00C943EB" w:rsidRDefault="001865EC" w:rsidP="001865EC">
      <w:pPr>
        <w:pStyle w:val="Bodytext20"/>
        <w:shd w:val="clear" w:color="auto" w:fill="auto"/>
        <w:spacing w:before="0"/>
        <w:ind w:firstLine="709"/>
      </w:pPr>
      <w:r w:rsidRPr="001865EC">
        <w:t>По истечении срока сбора информации замечания и предложения не поступили.</w:t>
      </w:r>
    </w:p>
    <w:p w14:paraId="0A72FAF6" w14:textId="1BC2AEAC" w:rsidR="001865EC" w:rsidRDefault="001865EC" w:rsidP="001865EC">
      <w:pPr>
        <w:pStyle w:val="Bodytext20"/>
        <w:shd w:val="clear" w:color="auto" w:fill="auto"/>
        <w:spacing w:before="0"/>
        <w:ind w:firstLine="709"/>
      </w:pPr>
      <w:r>
        <w:t xml:space="preserve">Проекты нормативных правовых актов Министерства публикуются на сайте Министерства в течение года. </w:t>
      </w:r>
    </w:p>
    <w:p w14:paraId="7E5A416A" w14:textId="77777777" w:rsidR="00C63660" w:rsidRDefault="001865EC" w:rsidP="00C63660">
      <w:pPr>
        <w:pStyle w:val="Bodytext20"/>
        <w:shd w:val="clear" w:color="auto" w:fill="auto"/>
        <w:spacing w:before="0"/>
        <w:ind w:firstLine="709"/>
      </w:pPr>
      <w:r w:rsidRPr="001865EC">
        <w:t xml:space="preserve">Нормативные правовые акты </w:t>
      </w:r>
      <w:r>
        <w:t xml:space="preserve">и проекты нормативных правовых актов </w:t>
      </w:r>
      <w:r w:rsidRPr="001865EC">
        <w:t>Министерства, в которых выявлены риски нарушения антимонопольного законодательства</w:t>
      </w:r>
      <w:r>
        <w:t xml:space="preserve">, </w:t>
      </w:r>
      <w:r w:rsidRPr="001865EC">
        <w:t xml:space="preserve">отсутствуют. </w:t>
      </w:r>
    </w:p>
    <w:p w14:paraId="2C1B9D8E" w14:textId="57264678" w:rsidR="00C63660" w:rsidRPr="00C63660" w:rsidRDefault="00C63660" w:rsidP="00C63660">
      <w:pPr>
        <w:pStyle w:val="Bodytext20"/>
        <w:shd w:val="clear" w:color="auto" w:fill="auto"/>
        <w:spacing w:before="0"/>
        <w:ind w:firstLine="709"/>
        <w:rPr>
          <w:rFonts w:asciiTheme="majorBidi" w:hAnsiTheme="majorBidi" w:cstheme="majorBidi"/>
        </w:rPr>
      </w:pPr>
      <w:r>
        <w:lastRenderedPageBreak/>
        <w:t>Ключевые показатели эффективности</w:t>
      </w:r>
      <w:r w:rsidRPr="002B161C">
        <w:t xml:space="preserve"> </w:t>
      </w:r>
      <w:r>
        <w:t xml:space="preserve">функционирования антимонопольного </w:t>
      </w:r>
      <w:proofErr w:type="spellStart"/>
      <w:r>
        <w:t>комплаенса</w:t>
      </w:r>
      <w:proofErr w:type="spellEnd"/>
      <w:r>
        <w:t xml:space="preserve"> за 202</w:t>
      </w:r>
      <w:r w:rsidR="00257EC1">
        <w:t>3</w:t>
      </w:r>
      <w:r>
        <w:t xml:space="preserve"> год в Министерстве выполнены в полном объеме.</w:t>
      </w:r>
    </w:p>
    <w:p w14:paraId="6D420B04" w14:textId="7067D97A" w:rsidR="00C63660" w:rsidRDefault="00C63660" w:rsidP="00C63660">
      <w:pPr>
        <w:pStyle w:val="Bodytext20"/>
        <w:shd w:val="clear" w:color="auto" w:fill="auto"/>
        <w:spacing w:before="0"/>
        <w:ind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Также Министерством утверждены ключевые </w:t>
      </w:r>
      <w:r>
        <w:t>показатели эффективности</w:t>
      </w:r>
      <w:r w:rsidRPr="002B161C">
        <w:t xml:space="preserve"> </w:t>
      </w:r>
      <w:r>
        <w:t xml:space="preserve">функционирования антимонопольного </w:t>
      </w:r>
      <w:proofErr w:type="spellStart"/>
      <w:r>
        <w:t>комплаенса</w:t>
      </w:r>
      <w:proofErr w:type="spellEnd"/>
      <w:r>
        <w:t>, карта комплаенс-рисков и План мероприятий (дорожная карта) по снижению комплаенс-рисков в Министерстве на 202</w:t>
      </w:r>
      <w:r w:rsidR="00257EC1">
        <w:t>4</w:t>
      </w:r>
      <w:r>
        <w:t xml:space="preserve"> год. Указанная информация опубликована на сайте Министерства. </w:t>
      </w:r>
      <w:r>
        <w:rPr>
          <w:rFonts w:asciiTheme="majorBidi" w:hAnsiTheme="majorBidi" w:cstheme="majorBidi"/>
        </w:rPr>
        <w:t xml:space="preserve"> </w:t>
      </w:r>
    </w:p>
    <w:p w14:paraId="316A91F0" w14:textId="77777777" w:rsidR="00C63660" w:rsidRDefault="00C63660" w:rsidP="00C63660">
      <w:pPr>
        <w:pStyle w:val="Bodytext20"/>
        <w:shd w:val="clear" w:color="auto" w:fill="auto"/>
        <w:spacing w:before="0"/>
        <w:ind w:firstLine="709"/>
        <w:rPr>
          <w:rFonts w:asciiTheme="majorBidi" w:hAnsiTheme="majorBidi" w:cstheme="majorBidi"/>
        </w:rPr>
      </w:pPr>
    </w:p>
    <w:p w14:paraId="58B78C9F" w14:textId="77777777" w:rsidR="00B10181" w:rsidRDefault="00B10181">
      <w:bookmarkStart w:id="1" w:name="OLE_LINK27"/>
      <w:bookmarkStart w:id="2" w:name="OLE_LINK28"/>
      <w:bookmarkEnd w:id="1"/>
      <w:bookmarkEnd w:id="2"/>
    </w:p>
    <w:sectPr w:rsidR="00B10181" w:rsidSect="00257EC1">
      <w:pgSz w:w="11900" w:h="16840"/>
      <w:pgMar w:top="709" w:right="825" w:bottom="1186" w:left="138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52D3"/>
    <w:multiLevelType w:val="multilevel"/>
    <w:tmpl w:val="74EE4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0D"/>
    <w:rsid w:val="00042F9E"/>
    <w:rsid w:val="00054464"/>
    <w:rsid w:val="00095B48"/>
    <w:rsid w:val="000F5290"/>
    <w:rsid w:val="00111600"/>
    <w:rsid w:val="0014036D"/>
    <w:rsid w:val="00171DB0"/>
    <w:rsid w:val="00174501"/>
    <w:rsid w:val="001865EC"/>
    <w:rsid w:val="00186E1A"/>
    <w:rsid w:val="001C3C17"/>
    <w:rsid w:val="00226F7E"/>
    <w:rsid w:val="00257EC1"/>
    <w:rsid w:val="002B161C"/>
    <w:rsid w:val="002C7277"/>
    <w:rsid w:val="00324A20"/>
    <w:rsid w:val="00331260"/>
    <w:rsid w:val="00371F94"/>
    <w:rsid w:val="00394B23"/>
    <w:rsid w:val="003A6F78"/>
    <w:rsid w:val="003C36A2"/>
    <w:rsid w:val="003D4481"/>
    <w:rsid w:val="003E680F"/>
    <w:rsid w:val="003F4888"/>
    <w:rsid w:val="00424E95"/>
    <w:rsid w:val="004342D2"/>
    <w:rsid w:val="00441999"/>
    <w:rsid w:val="004963C8"/>
    <w:rsid w:val="004C1C9D"/>
    <w:rsid w:val="004D5E9E"/>
    <w:rsid w:val="00507F11"/>
    <w:rsid w:val="00616D91"/>
    <w:rsid w:val="006201B2"/>
    <w:rsid w:val="006438A0"/>
    <w:rsid w:val="006B3715"/>
    <w:rsid w:val="006B7728"/>
    <w:rsid w:val="006D3D59"/>
    <w:rsid w:val="00720D05"/>
    <w:rsid w:val="00743F72"/>
    <w:rsid w:val="00770C66"/>
    <w:rsid w:val="00777F0A"/>
    <w:rsid w:val="007E64BF"/>
    <w:rsid w:val="008759BC"/>
    <w:rsid w:val="0092546B"/>
    <w:rsid w:val="00967EAA"/>
    <w:rsid w:val="00A23441"/>
    <w:rsid w:val="00AB4BF5"/>
    <w:rsid w:val="00AB6A17"/>
    <w:rsid w:val="00AE7E2C"/>
    <w:rsid w:val="00AF53AD"/>
    <w:rsid w:val="00B10181"/>
    <w:rsid w:val="00B14BC1"/>
    <w:rsid w:val="00B348E9"/>
    <w:rsid w:val="00B8703F"/>
    <w:rsid w:val="00B94708"/>
    <w:rsid w:val="00BA1919"/>
    <w:rsid w:val="00BC21EA"/>
    <w:rsid w:val="00BC440D"/>
    <w:rsid w:val="00C63660"/>
    <w:rsid w:val="00C943EB"/>
    <w:rsid w:val="00CC1A49"/>
    <w:rsid w:val="00D44643"/>
    <w:rsid w:val="00D97AF8"/>
    <w:rsid w:val="00DE31EF"/>
    <w:rsid w:val="00E0172A"/>
    <w:rsid w:val="00E64570"/>
    <w:rsid w:val="00E748C2"/>
    <w:rsid w:val="00F2688C"/>
    <w:rsid w:val="00F355FC"/>
    <w:rsid w:val="00F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AF8D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BC4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C4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440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BC440D"/>
    <w:pPr>
      <w:widowControl w:val="0"/>
      <w:shd w:val="clear" w:color="auto" w:fill="FFFFFF"/>
      <w:spacing w:before="300" w:line="322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21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ДОКЛАД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Мизакова Неля Мансуровна</cp:lastModifiedBy>
  <cp:revision>10</cp:revision>
  <cp:lastPrinted>2023-03-02T09:33:00Z</cp:lastPrinted>
  <dcterms:created xsi:type="dcterms:W3CDTF">2022-02-14T11:17:00Z</dcterms:created>
  <dcterms:modified xsi:type="dcterms:W3CDTF">2024-02-08T08:27:00Z</dcterms:modified>
</cp:coreProperties>
</file>