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8" w:rsidRDefault="00BE4E93">
      <w:pPr>
        <w:pStyle w:val="20"/>
        <w:shd w:val="clear" w:color="auto" w:fill="auto"/>
        <w:spacing w:after="216"/>
        <w:ind w:left="20" w:right="180"/>
      </w:pPr>
      <w:r>
        <w:t>ЭФФЕКТИВНОЕ УПРАВЛЕНИЕ И РАСПОРЯЖЕНИЕ ИМУЩЕСТВОМ СУБЪЕКТОВ РОССИЙСКОЙ ФЕДЕРАЦИИ И МУНИЦИПАЛЬНЫХ ОБРАЗОВАНИЙ</w:t>
      </w:r>
    </w:p>
    <w:p w:rsidR="00607248" w:rsidRDefault="00BE4E93">
      <w:pPr>
        <w:pStyle w:val="1"/>
        <w:shd w:val="clear" w:color="auto" w:fill="auto"/>
        <w:spacing w:before="0" w:after="189" w:line="200" w:lineRule="exact"/>
        <w:ind w:left="20"/>
      </w:pPr>
      <w:r>
        <w:rPr>
          <w:rStyle w:val="a5"/>
        </w:rPr>
        <w:t>Дата проведения</w:t>
      </w:r>
      <w:r>
        <w:rPr>
          <w:rStyle w:val="a6"/>
        </w:rPr>
        <w:t>:</w:t>
      </w:r>
      <w:r>
        <w:t xml:space="preserve"> 19-20 июля 2012 года</w:t>
      </w:r>
    </w:p>
    <w:p w:rsidR="00607248" w:rsidRDefault="00BE4E93">
      <w:pPr>
        <w:pStyle w:val="1"/>
        <w:shd w:val="clear" w:color="auto" w:fill="auto"/>
        <w:spacing w:before="0" w:after="162" w:line="200" w:lineRule="exact"/>
        <w:ind w:left="20"/>
      </w:pPr>
      <w:r>
        <w:rPr>
          <w:rStyle w:val="a5"/>
        </w:rPr>
        <w:t>Место и время проведения</w:t>
      </w:r>
      <w:r>
        <w:rPr>
          <w:rStyle w:val="a6"/>
        </w:rPr>
        <w:t>:</w:t>
      </w:r>
      <w:r>
        <w:t xml:space="preserve"> Торгово-промышленная палата РФ, Москва, </w:t>
      </w:r>
      <w:proofErr w:type="gramStart"/>
      <w:r>
        <w:t>Чистопрудный</w:t>
      </w:r>
      <w:proofErr w:type="gramEnd"/>
      <w:r>
        <w:t xml:space="preserve"> бул., 5/10, стр. 1</w:t>
      </w:r>
    </w:p>
    <w:p w:rsidR="00607248" w:rsidRDefault="00BE4E93">
      <w:pPr>
        <w:pStyle w:val="1"/>
        <w:shd w:val="clear" w:color="auto" w:fill="auto"/>
        <w:spacing w:before="0" w:after="180" w:line="230" w:lineRule="exact"/>
        <w:ind w:left="20" w:right="180"/>
      </w:pPr>
      <w:r>
        <w:t xml:space="preserve">В соответствии с программой приватизации на период 2011-2013 годов предусматривается приватизация пакетов акций 1408 акционерных обществ. Всего же в России насчитывается 2714 компаний с </w:t>
      </w:r>
      <w:proofErr w:type="spellStart"/>
      <w:r>
        <w:t>госучастием</w:t>
      </w:r>
      <w:proofErr w:type="spellEnd"/>
      <w:r>
        <w:rPr>
          <w:lang w:val="ru-RU"/>
        </w:rPr>
        <w:t>.</w:t>
      </w:r>
      <w:r>
        <w:t xml:space="preserve"> Кроме того, предполагается акционирование 278 </w:t>
      </w:r>
      <w:proofErr w:type="spellStart"/>
      <w:r>
        <w:t>ФГУПов</w:t>
      </w:r>
      <w:proofErr w:type="spellEnd"/>
      <w:r>
        <w:t xml:space="preserve"> из 2427 </w:t>
      </w:r>
      <w:proofErr w:type="gramStart"/>
      <w:r>
        <w:t>имеющихся</w:t>
      </w:r>
      <w:proofErr w:type="gramEnd"/>
      <w:r>
        <w:t xml:space="preserve"> в общем реестре. Одновременно происходит существенное обновление Гражданского кодекса РФ и реформа правового регулирования вещных прав на недвижимость. Это открывает множество новых возможностей и создает целый ряд проблемных вопросов, без учета которых возникают серьезные риски в сфере защиты и оборота прав собственности на земельные участки и недвижимое имущество.</w:t>
      </w:r>
    </w:p>
    <w:p w:rsidR="00607248" w:rsidRDefault="00BE4E93">
      <w:pPr>
        <w:pStyle w:val="1"/>
        <w:shd w:val="clear" w:color="auto" w:fill="auto"/>
        <w:spacing w:before="0" w:after="180" w:line="230" w:lineRule="exact"/>
        <w:ind w:left="20" w:right="180"/>
      </w:pPr>
      <w:r>
        <w:rPr>
          <w:rStyle w:val="a6"/>
        </w:rPr>
        <w:t>Цель семинара</w:t>
      </w:r>
      <w:r>
        <w:t xml:space="preserve"> - проанализировать самые острые проблемы правового режима и оборота недвижимого имущества, прокомментировать новеллы формируемого законодательства для повышения эффективности управления предприятиями с государственным и муниципальным участием. В ходе семинара рассматривается последняя судебная практика, даются конкретные рекомендации и анализируются типичные ошибки.</w:t>
      </w:r>
    </w:p>
    <w:p w:rsidR="00607248" w:rsidRDefault="00BE4E93">
      <w:pPr>
        <w:pStyle w:val="1"/>
        <w:shd w:val="clear" w:color="auto" w:fill="auto"/>
        <w:spacing w:before="0" w:after="180" w:line="230" w:lineRule="exact"/>
        <w:ind w:left="20" w:right="180"/>
      </w:pPr>
      <w:r>
        <w:t>Тема семинара находится на стыке юридической практики и компетенций финансового директора. Семинар предназначен для региональных департаментов имущества, руководителей и специалистов муниципальных образований, финансовых директоров предприятий с государственным и муниципальным участием, руководителей юридических отделов.</w:t>
      </w:r>
    </w:p>
    <w:p w:rsidR="00607248" w:rsidRDefault="00BE4E93">
      <w:pPr>
        <w:pStyle w:val="1"/>
        <w:shd w:val="clear" w:color="auto" w:fill="auto"/>
        <w:spacing w:before="0" w:after="0" w:line="230" w:lineRule="exact"/>
        <w:ind w:left="20" w:right="180"/>
      </w:pPr>
      <w:r>
        <w:t>На семинаре выступят специалисты Федерального агентства по управлению государственным имуществом, Департамента бюджетной политики и методологии Министерства финансов РФ</w:t>
      </w:r>
      <w:bookmarkStart w:id="0" w:name="_GoBack"/>
      <w:bookmarkEnd w:id="0"/>
      <w:r>
        <w:t xml:space="preserve">, аудиторы, эксперты-практики. </w:t>
      </w:r>
      <w:r>
        <w:rPr>
          <w:rStyle w:val="a6"/>
        </w:rPr>
        <w:t>Вопросы, рассматриваемые в программе:</w:t>
      </w:r>
    </w:p>
    <w:p w:rsidR="00607248" w:rsidRDefault="00BE4E93">
      <w:pPr>
        <w:pStyle w:val="1"/>
        <w:shd w:val="clear" w:color="auto" w:fill="auto"/>
        <w:spacing w:before="0" w:after="0" w:line="238" w:lineRule="exact"/>
        <w:ind w:left="20" w:right="180"/>
      </w:pPr>
      <w:r>
        <w:t>Учет в едином государственном реестре государственного и муниципального имущества, оформление и регистрация прав собственности на объекты;</w:t>
      </w:r>
    </w:p>
    <w:p w:rsidR="00607248" w:rsidRDefault="00BE4E93">
      <w:pPr>
        <w:pStyle w:val="1"/>
        <w:shd w:val="clear" w:color="auto" w:fill="auto"/>
        <w:spacing w:before="0" w:after="0" w:line="238" w:lineRule="exact"/>
        <w:ind w:left="20" w:right="180"/>
      </w:pPr>
      <w:r>
        <w:t>Особенности заключения и регистрации коммерческих договоров на недвижимое имущество. Порядок передачи имущества в аренду, условия договоров аренды: проблемные вопросы; Особенности распоряжения земельными участками, находящиеся в государственной и муниципальной собственности. Судебно-арбитражная практика.</w:t>
      </w:r>
    </w:p>
    <w:p w:rsidR="00607248" w:rsidRDefault="00BE4E93">
      <w:pPr>
        <w:pStyle w:val="1"/>
        <w:shd w:val="clear" w:color="auto" w:fill="auto"/>
        <w:spacing w:before="0" w:after="0" w:line="238" w:lineRule="exact"/>
        <w:ind w:left="20" w:right="740"/>
        <w:jc w:val="both"/>
      </w:pPr>
      <w:r>
        <w:t xml:space="preserve">Реформирование государственных и муниципальных предприятий. Основные вопросы при приватизации. Выбор наиболее оптимальной организационно-правовой формы. Корпоративные вопросы (проблемные </w:t>
      </w:r>
      <w:proofErr w:type="gramStart"/>
      <w:r>
        <w:t>вопросы</w:t>
      </w:r>
      <w:proofErr w:type="gramEnd"/>
      <w:r>
        <w:t xml:space="preserve"> не урегулированные законодательством РФ);</w:t>
      </w:r>
    </w:p>
    <w:p w:rsidR="00607248" w:rsidRDefault="00BE4E93">
      <w:pPr>
        <w:pStyle w:val="1"/>
        <w:shd w:val="clear" w:color="auto" w:fill="auto"/>
        <w:spacing w:before="0" w:after="0" w:line="238" w:lineRule="exact"/>
        <w:ind w:left="20" w:right="180"/>
      </w:pPr>
      <w:r>
        <w:t xml:space="preserve">Полномочия Совета директоров. Положения по вознаграждению Совета директоров (система </w:t>
      </w:r>
      <w:r>
        <w:rPr>
          <w:lang w:val="en-US"/>
        </w:rPr>
        <w:t>KPI</w:t>
      </w:r>
      <w:r w:rsidRPr="00BE4E93">
        <w:rPr>
          <w:lang w:val="ru-RU"/>
        </w:rPr>
        <w:t xml:space="preserve">); </w:t>
      </w:r>
      <w:r>
        <w:t>Предложения по повышению эффективности деятельности компаний с участием государства; Выявление злоупотреблений. Возможности финансового и правового мониторинга; Разработка регламентов по внутреннему контролю;</w:t>
      </w:r>
    </w:p>
    <w:p w:rsidR="00607248" w:rsidRDefault="00BE4E93">
      <w:pPr>
        <w:pStyle w:val="1"/>
        <w:shd w:val="clear" w:color="auto" w:fill="auto"/>
        <w:spacing w:before="0" w:after="0" w:line="238" w:lineRule="exact"/>
        <w:ind w:left="20"/>
      </w:pPr>
      <w:r>
        <w:t>Система оценки важнейших индикаторов угрозы возникновения банкротства;</w:t>
      </w:r>
    </w:p>
    <w:p w:rsidR="00607248" w:rsidRDefault="00BE4E93">
      <w:pPr>
        <w:pStyle w:val="1"/>
        <w:shd w:val="clear" w:color="auto" w:fill="auto"/>
        <w:spacing w:before="0" w:after="186" w:line="238" w:lineRule="exact"/>
        <w:ind w:left="20" w:right="180"/>
      </w:pPr>
      <w:r>
        <w:t>Государственное финансирование, субсидии и субвенций. Формирование отчетности по государственному финансированию.</w:t>
      </w:r>
    </w:p>
    <w:p w:rsidR="00607248" w:rsidRDefault="00BE4E93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  <w:r>
        <w:rPr>
          <w:rStyle w:val="12"/>
        </w:rPr>
        <w:t>Стоимость, скидки</w:t>
      </w:r>
      <w:r>
        <w:t>:</w:t>
      </w:r>
      <w:bookmarkEnd w:id="1"/>
    </w:p>
    <w:p w:rsidR="00BF0DE7" w:rsidRDefault="00BE4E93">
      <w:pPr>
        <w:pStyle w:val="1"/>
        <w:shd w:val="clear" w:color="auto" w:fill="auto"/>
        <w:spacing w:before="0" w:after="0" w:line="230" w:lineRule="exact"/>
        <w:ind w:left="20" w:right="180"/>
        <w:rPr>
          <w:lang w:val="ru-RU"/>
        </w:rPr>
      </w:pPr>
      <w:r>
        <w:t>За участие в семинаре - 24500 руб. (стоимость методических материалов, обеда, кофе паузы), НДС не облагается. За участие 2-х и более слушателей от организации -10%; участникам предыдущих семинаров- 10%. Скидки не суммируются.</w:t>
      </w:r>
    </w:p>
    <w:p w:rsidR="00607248" w:rsidRDefault="00BE4E93">
      <w:pPr>
        <w:pStyle w:val="1"/>
        <w:shd w:val="clear" w:color="auto" w:fill="auto"/>
        <w:spacing w:before="0" w:after="0" w:line="230" w:lineRule="exact"/>
        <w:ind w:left="20" w:right="180"/>
      </w:pPr>
      <w:r>
        <w:t xml:space="preserve"> </w:t>
      </w:r>
      <w:r>
        <w:rPr>
          <w:rStyle w:val="a5"/>
        </w:rPr>
        <w:t>Место и время проведения</w:t>
      </w:r>
      <w:r>
        <w:rPr>
          <w:rStyle w:val="a6"/>
        </w:rPr>
        <w:t>:</w:t>
      </w:r>
    </w:p>
    <w:p w:rsidR="00607248" w:rsidRDefault="00BE4E93">
      <w:pPr>
        <w:pStyle w:val="1"/>
        <w:shd w:val="clear" w:color="auto" w:fill="auto"/>
        <w:spacing w:before="0" w:after="0" w:line="230" w:lineRule="exact"/>
        <w:ind w:left="20" w:right="180"/>
      </w:pPr>
      <w:r>
        <w:t xml:space="preserve">с 10.00-17.00, Торгово-промышленная палата РФ, Москва, </w:t>
      </w:r>
      <w:proofErr w:type="gramStart"/>
      <w:r>
        <w:t>Чистопрудный</w:t>
      </w:r>
      <w:proofErr w:type="gramEnd"/>
      <w:r>
        <w:t xml:space="preserve"> бул., 5/10, стр. 1. Оказывается помощь при бронировании.</w:t>
      </w:r>
    </w:p>
    <w:p w:rsidR="00607248" w:rsidRDefault="00BE4E93">
      <w:pPr>
        <w:pStyle w:val="1"/>
        <w:shd w:val="clear" w:color="auto" w:fill="auto"/>
        <w:spacing w:before="0" w:after="0" w:line="230" w:lineRule="exact"/>
        <w:ind w:left="20" w:right="180"/>
      </w:pPr>
      <w:r>
        <w:t xml:space="preserve">В случае невозможности участия, вы можете приобрести комплект раздаточного материала. Стоимость: 6400руб., </w:t>
      </w:r>
      <w:r w:rsidR="00BF0DE7">
        <w:rPr>
          <w:lang w:val="ru-RU"/>
        </w:rPr>
        <w:t xml:space="preserve">с </w:t>
      </w:r>
      <w:r>
        <w:t>учетом курьерской доставки!</w:t>
      </w:r>
    </w:p>
    <w:p w:rsidR="00607248" w:rsidRDefault="00BE4E93">
      <w:pPr>
        <w:pStyle w:val="30"/>
        <w:shd w:val="clear" w:color="auto" w:fill="auto"/>
        <w:spacing w:after="176"/>
        <w:ind w:left="20" w:right="740"/>
      </w:pPr>
      <w:r>
        <w:t>*При отказе от участия в мероприятии менее</w:t>
      </w:r>
      <w:proofErr w:type="gramStart"/>
      <w:r>
        <w:t>,</w:t>
      </w:r>
      <w:proofErr w:type="gramEnd"/>
      <w:r>
        <w:t xml:space="preserve"> чем за 3 дня, переведенные средства возвращаются в объеме 50% от общей стоимости. В случае отказа от участия в срок менее</w:t>
      </w:r>
      <w:proofErr w:type="gramStart"/>
      <w:r>
        <w:t>,</w:t>
      </w:r>
      <w:proofErr w:type="gramEnd"/>
      <w:r>
        <w:t xml:space="preserve"> чем за 5 рабочих дней до начала семинара, предоплата участнику не возвращается</w:t>
      </w:r>
      <w:r>
        <w:rPr>
          <w:rStyle w:val="31"/>
        </w:rPr>
        <w:t>, а</w:t>
      </w:r>
      <w:r>
        <w:t xml:space="preserve"> может быть зачтена в счет оплаты за участие в любом другом мероприятии.</w:t>
      </w:r>
    </w:p>
    <w:p w:rsidR="00607248" w:rsidRDefault="00BE4E93">
      <w:pPr>
        <w:pStyle w:val="11"/>
        <w:keepNext/>
        <w:keepLines/>
        <w:shd w:val="clear" w:color="auto" w:fill="auto"/>
        <w:spacing w:before="0" w:line="235" w:lineRule="exact"/>
        <w:ind w:left="180"/>
        <w:jc w:val="center"/>
      </w:pPr>
      <w:bookmarkStart w:id="2" w:name="bookmark1"/>
      <w:r>
        <w:t xml:space="preserve">По вопросам регистрации и программы обращайтесь к </w:t>
      </w:r>
      <w:proofErr w:type="spellStart"/>
      <w:r>
        <w:t>Кривенцову</w:t>
      </w:r>
      <w:proofErr w:type="spellEnd"/>
      <w:r>
        <w:t xml:space="preserve"> Михаилу: </w:t>
      </w:r>
      <w:r>
        <w:rPr>
          <w:rStyle w:val="195pt"/>
        </w:rPr>
        <w:t>(495) 234-70-33, 727-31-03,</w:t>
      </w:r>
      <w:r>
        <w:rPr>
          <w:rStyle w:val="175pt"/>
        </w:rPr>
        <w:t xml:space="preserve"> </w:t>
      </w:r>
      <w:hyperlink r:id="rId6" w:history="1">
        <w:r w:rsidR="00B85E3E" w:rsidRPr="00600CB2">
          <w:rPr>
            <w:rStyle w:val="a3"/>
            <w:sz w:val="15"/>
            <w:szCs w:val="15"/>
            <w:lang w:val="en-US"/>
          </w:rPr>
          <w:t>mk</w:t>
        </w:r>
        <w:r w:rsidR="00B85E3E" w:rsidRPr="00600CB2">
          <w:rPr>
            <w:rStyle w:val="a3"/>
            <w:sz w:val="19"/>
            <w:szCs w:val="19"/>
            <w:lang w:val="ru-RU"/>
          </w:rPr>
          <w:t>@</w:t>
        </w:r>
        <w:r w:rsidR="00B85E3E" w:rsidRPr="00600CB2">
          <w:rPr>
            <w:rStyle w:val="a3"/>
            <w:sz w:val="19"/>
            <w:szCs w:val="19"/>
            <w:lang w:val="en-US"/>
          </w:rPr>
          <w:t>group</w:t>
        </w:r>
        <w:r w:rsidR="00B85E3E" w:rsidRPr="00600CB2">
          <w:rPr>
            <w:rStyle w:val="a3"/>
            <w:sz w:val="19"/>
            <w:szCs w:val="19"/>
            <w:lang w:val="ru-RU"/>
          </w:rPr>
          <w:t>-</w:t>
        </w:r>
        <w:r w:rsidR="00B85E3E" w:rsidRPr="00600CB2">
          <w:rPr>
            <w:rStyle w:val="a3"/>
            <w:sz w:val="19"/>
            <w:szCs w:val="19"/>
            <w:lang w:val="en-US"/>
          </w:rPr>
          <w:t>adk</w:t>
        </w:r>
        <w:r w:rsidR="00B85E3E" w:rsidRPr="00600CB2">
          <w:rPr>
            <w:rStyle w:val="a3"/>
            <w:sz w:val="19"/>
            <w:szCs w:val="19"/>
            <w:lang w:val="ru-RU"/>
          </w:rPr>
          <w:t>.</w:t>
        </w:r>
        <w:r w:rsidR="00B85E3E" w:rsidRPr="00600CB2">
          <w:rPr>
            <w:rStyle w:val="a3"/>
            <w:sz w:val="19"/>
            <w:szCs w:val="19"/>
            <w:lang w:val="en-US"/>
          </w:rPr>
          <w:t>ru</w:t>
        </w:r>
      </w:hyperlink>
      <w:bookmarkEnd w:id="2"/>
    </w:p>
    <w:sectPr w:rsidR="00607248" w:rsidSect="0022155B">
      <w:type w:val="continuous"/>
      <w:pgSz w:w="11905" w:h="16837"/>
      <w:pgMar w:top="1300" w:right="177" w:bottom="1300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35" w:rsidRDefault="00F22C35">
      <w:r>
        <w:separator/>
      </w:r>
    </w:p>
  </w:endnote>
  <w:endnote w:type="continuationSeparator" w:id="0">
    <w:p w:rsidR="00F22C35" w:rsidRDefault="00F2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35" w:rsidRDefault="00F22C35"/>
  </w:footnote>
  <w:footnote w:type="continuationSeparator" w:id="0">
    <w:p w:rsidR="00F22C35" w:rsidRDefault="00F22C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7248"/>
    <w:rsid w:val="0022155B"/>
    <w:rsid w:val="00607248"/>
    <w:rsid w:val="00B85E3E"/>
    <w:rsid w:val="00BE4E93"/>
    <w:rsid w:val="00BF0DE7"/>
    <w:rsid w:val="00BF296B"/>
    <w:rsid w:val="00F2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5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55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sid w:val="0022155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6">
    <w:name w:val="Основной текст + Полужирный"/>
    <w:basedOn w:val="a4"/>
    <w:rsid w:val="0022155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"/>
    <w:basedOn w:val="10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курсив"/>
    <w:basedOn w:val="3"/>
    <w:rsid w:val="0022155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95pt">
    <w:name w:val="Заголовок №1 + 9;5 pt"/>
    <w:basedOn w:val="10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5pt">
    <w:name w:val="Заголовок №1 + 7;5 pt"/>
    <w:basedOn w:val="10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5pt0">
    <w:name w:val="Заголовок №1 + 7;5 pt"/>
    <w:basedOn w:val="10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195pt0">
    <w:name w:val="Заголовок №1 + 9;5 pt"/>
    <w:basedOn w:val="10"/>
    <w:rsid w:val="002215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20">
    <w:name w:val="Основной текст (2)"/>
    <w:basedOn w:val="a"/>
    <w:link w:val="2"/>
    <w:rsid w:val="0022155B"/>
    <w:pPr>
      <w:shd w:val="clear" w:color="auto" w:fill="FFFFFF"/>
      <w:spacing w:after="180" w:line="24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22155B"/>
    <w:pPr>
      <w:shd w:val="clear" w:color="auto" w:fill="FFFFFF"/>
      <w:spacing w:before="180" w:after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rsid w:val="0022155B"/>
    <w:pPr>
      <w:shd w:val="clear" w:color="auto" w:fill="FFFFFF"/>
      <w:spacing w:before="180" w:line="23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22155B"/>
    <w:pPr>
      <w:shd w:val="clear" w:color="auto" w:fill="FFFFFF"/>
      <w:spacing w:after="180" w:line="230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@group-ad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 М.К.</dc:creator>
  <cp:lastModifiedBy>Строева В.П.</cp:lastModifiedBy>
  <cp:revision>3</cp:revision>
  <cp:lastPrinted>2012-07-05T05:35:00Z</cp:lastPrinted>
  <dcterms:created xsi:type="dcterms:W3CDTF">2012-07-05T05:56:00Z</dcterms:created>
  <dcterms:modified xsi:type="dcterms:W3CDTF">2012-07-05T05:56:00Z</dcterms:modified>
</cp:coreProperties>
</file>