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82C13" w:rsidRPr="00661D70" w:rsidRDefault="00F32EFA" w:rsidP="00182C13">
      <w:pPr>
        <w:keepNext/>
        <w:keepLines/>
        <w:contextualSpacing/>
        <w:mirrorIndents/>
        <w:jc w:val="center"/>
        <w:rPr>
          <w:b/>
        </w:rPr>
      </w:pPr>
      <w:r w:rsidRPr="00F32EFA">
        <w:rPr>
          <w:b/>
        </w:rPr>
        <w:t xml:space="preserve">ИНФОРМАЦИОННОЕ СООБЩЕНИЕ  </w:t>
      </w:r>
      <w:bookmarkEnd w:id="0"/>
      <w:bookmarkEnd w:id="1"/>
      <w:r w:rsidRPr="00F32EFA">
        <w:rPr>
          <w:b/>
        </w:rPr>
        <w:t xml:space="preserve">О РЕЗУЛЬТАТАХ  </w:t>
      </w:r>
      <w:r w:rsidR="00182C13" w:rsidRPr="00661D70">
        <w:rPr>
          <w:b/>
        </w:rPr>
        <w:t xml:space="preserve">ПРОДАЖИ ИМУЩЕСТВА ПОСРЕДСТВОМ ПУБЛИЧНОГО ПРЕДЛОЖЕНИЯ </w:t>
      </w:r>
    </w:p>
    <w:p w:rsidR="00182C13" w:rsidRPr="00661D70" w:rsidRDefault="00182C13" w:rsidP="00182C13">
      <w:pPr>
        <w:keepNext/>
        <w:keepLines/>
        <w:contextualSpacing/>
        <w:mirrorIndents/>
        <w:jc w:val="center"/>
        <w:rPr>
          <w:b/>
        </w:rPr>
      </w:pPr>
      <w:r w:rsidRPr="00661D70">
        <w:rPr>
          <w:b/>
        </w:rPr>
        <w:t>В ЭЛЕКТРОННОЙ ФОРМЕ</w:t>
      </w: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182C13">
        <w:trPr>
          <w:trHeight w:val="732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9B2C0B" w:rsidRPr="00C26FE5" w:rsidRDefault="00F32EFA" w:rsidP="009B2C0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имущества: </w:t>
            </w:r>
            <w:r w:rsidR="009B2C0B" w:rsidRPr="00C26FE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="009B2C0B" w:rsidRPr="00C26FE5">
              <w:rPr>
                <w:rFonts w:ascii="Times New Roman" w:hAnsi="Times New Roman" w:cs="Times New Roman"/>
                <w:sz w:val="24"/>
                <w:szCs w:val="24"/>
              </w:rPr>
              <w:t>Татагролизинг</w:t>
            </w:r>
            <w:proofErr w:type="spellEnd"/>
            <w:r w:rsidR="009B2C0B" w:rsidRPr="00C26F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2C0B" w:rsidRPr="00C26F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F32EFA" w:rsidRPr="00F32EFA" w:rsidRDefault="009B2C0B" w:rsidP="009B2C0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422718, Республика Татарстан, Высокогорский район,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пос.ж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/д разъезда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Киндери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есная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</w:tc>
      </w:tr>
      <w:tr w:rsidR="00F32EFA" w:rsidRPr="00F32EFA" w:rsidTr="00182C13">
        <w:trPr>
          <w:trHeight w:val="547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182C13" w:rsidRDefault="009B2C0B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C13" w:rsidRPr="00644BF6">
              <w:rPr>
                <w:rFonts w:ascii="Times New Roman" w:hAnsi="Times New Roman" w:cs="Times New Roman"/>
                <w:sz w:val="24"/>
                <w:szCs w:val="24"/>
              </w:rPr>
              <w:t xml:space="preserve">Продажа посредством публичного предложения в электронной форме имущества </w:t>
            </w:r>
            <w:r w:rsidR="00182C13" w:rsidRPr="00644BF6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Акционерного общества «</w:t>
            </w:r>
            <w:proofErr w:type="spellStart"/>
            <w:r w:rsidR="00182C13" w:rsidRPr="00644BF6">
              <w:rPr>
                <w:rFonts w:ascii="Times New Roman" w:hAnsi="Times New Roman" w:cs="Times New Roman"/>
                <w:b/>
                <w:sz w:val="24"/>
                <w:szCs w:val="24"/>
              </w:rPr>
              <w:t>Татагролизинг</w:t>
            </w:r>
            <w:proofErr w:type="spellEnd"/>
            <w:r w:rsidR="00182C13" w:rsidRPr="00644B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82C13" w:rsidRPr="00644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9B2C0B" w:rsidRDefault="009B2C0B" w:rsidP="009B2C0B">
            <w:pPr>
              <w:keepNext/>
              <w:keepLines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D60DD2">
              <w:rPr>
                <w:rFonts w:eastAsia="Calibri"/>
                <w:b/>
                <w:bCs/>
                <w:lang w:eastAsia="en-US"/>
              </w:rPr>
              <w:t>Наименование имущества (характеристики имущества):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1"/>
              <w:gridCol w:w="7654"/>
            </w:tblGrid>
            <w:tr w:rsidR="009B2C0B" w:rsidRPr="00BD6C2E" w:rsidTr="00182C13">
              <w:trPr>
                <w:trHeight w:val="190"/>
              </w:trPr>
              <w:tc>
                <w:tcPr>
                  <w:tcW w:w="1021" w:type="dxa"/>
                  <w:shd w:val="clear" w:color="auto" w:fill="auto"/>
                </w:tcPr>
                <w:p w:rsidR="009B2C0B" w:rsidRPr="009B2C0B" w:rsidRDefault="009B2C0B" w:rsidP="0022707F">
                  <w:pPr>
                    <w:jc w:val="center"/>
                    <w:rPr>
                      <w:b/>
                    </w:rPr>
                  </w:pPr>
                  <w:r w:rsidRPr="009B2C0B">
                    <w:rPr>
                      <w:b/>
                    </w:rPr>
                    <w:t>№ лота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p w:rsidR="009B2C0B" w:rsidRPr="009B2C0B" w:rsidRDefault="009B2C0B" w:rsidP="0022707F">
                  <w:pPr>
                    <w:jc w:val="center"/>
                    <w:rPr>
                      <w:b/>
                    </w:rPr>
                  </w:pPr>
                  <w:r w:rsidRPr="009B2C0B">
                    <w:rPr>
                      <w:b/>
                    </w:rPr>
                    <w:t xml:space="preserve">Объект продажи </w:t>
                  </w:r>
                </w:p>
              </w:tc>
            </w:tr>
            <w:tr w:rsidR="009B2C0B" w:rsidRPr="00BD6C2E" w:rsidTr="009B2C0B">
              <w:trPr>
                <w:trHeight w:val="441"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B2C0B" w:rsidRPr="009B2C0B" w:rsidRDefault="009B2C0B" w:rsidP="0022707F">
                  <w:pPr>
                    <w:ind w:firstLine="142"/>
                    <w:jc w:val="center"/>
                  </w:pPr>
                  <w:r w:rsidRPr="009B2C0B">
                    <w:t>1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p w:rsidR="009B2C0B" w:rsidRPr="009B2C0B" w:rsidRDefault="009B2C0B" w:rsidP="0022707F">
                  <w:pPr>
                    <w:keepNext/>
                    <w:keepLines/>
                    <w:adjustRightInd w:val="0"/>
                    <w:contextualSpacing/>
                    <w:mirrorIndents/>
                    <w:jc w:val="both"/>
                    <w:outlineLvl w:val="1"/>
                  </w:pPr>
                  <w:r w:rsidRPr="009B2C0B">
                    <w:t xml:space="preserve">Комплекс  имущества, расположенный  по адресам: </w:t>
                  </w:r>
                  <w:proofErr w:type="spellStart"/>
                  <w:r w:rsidRPr="009B2C0B">
                    <w:t>г</w:t>
                  </w:r>
                  <w:proofErr w:type="gramStart"/>
                  <w:r w:rsidRPr="009B2C0B">
                    <w:t>.К</w:t>
                  </w:r>
                  <w:proofErr w:type="gramEnd"/>
                  <w:r w:rsidRPr="009B2C0B">
                    <w:t>азань</w:t>
                  </w:r>
                  <w:proofErr w:type="spellEnd"/>
                  <w:r w:rsidRPr="009B2C0B">
                    <w:t xml:space="preserve">, </w:t>
                  </w:r>
                  <w:proofErr w:type="spellStart"/>
                  <w:r w:rsidRPr="009B2C0B">
                    <w:t>ул.Лебедева</w:t>
                  </w:r>
                  <w:proofErr w:type="spellEnd"/>
                  <w:r w:rsidRPr="009B2C0B">
                    <w:t xml:space="preserve">, д.4, </w:t>
                  </w:r>
                  <w:proofErr w:type="spellStart"/>
                  <w:r w:rsidRPr="009B2C0B">
                    <w:t>ул.Пригородная</w:t>
                  </w:r>
                  <w:proofErr w:type="spellEnd"/>
                  <w:r w:rsidRPr="009B2C0B">
                    <w:t xml:space="preserve">, д.2 </w:t>
                  </w:r>
                </w:p>
              </w:tc>
            </w:tr>
            <w:tr w:rsidR="009B2C0B" w:rsidRPr="00BD6C2E" w:rsidTr="009B2C0B">
              <w:trPr>
                <w:trHeight w:val="165"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B2C0B" w:rsidRPr="009B2C0B" w:rsidRDefault="009B2C0B" w:rsidP="0022707F">
                  <w:pPr>
                    <w:ind w:firstLine="142"/>
                    <w:jc w:val="center"/>
                  </w:pPr>
                  <w:r w:rsidRPr="009B2C0B">
                    <w:t>2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p w:rsidR="009B2C0B" w:rsidRPr="009B2C0B" w:rsidRDefault="009B2C0B" w:rsidP="009B2C0B">
                  <w:pPr>
                    <w:keepNext/>
                    <w:keepLines/>
                    <w:adjustRightInd w:val="0"/>
                    <w:contextualSpacing/>
                    <w:mirrorIndents/>
                    <w:jc w:val="both"/>
                    <w:outlineLvl w:val="1"/>
                  </w:pPr>
                  <w:r w:rsidRPr="009B2C0B">
                    <w:t xml:space="preserve">Комплекс имущества Чистопольского комбикормового завода </w:t>
                  </w:r>
                </w:p>
              </w:tc>
            </w:tr>
            <w:tr w:rsidR="009B2C0B" w:rsidRPr="00BD6C2E" w:rsidTr="009B2C0B">
              <w:trPr>
                <w:trHeight w:val="333"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B2C0B" w:rsidRPr="009B2C0B" w:rsidRDefault="00CA46E7" w:rsidP="00CA46E7">
                  <w:pPr>
                    <w:ind w:firstLine="142"/>
                    <w:jc w:val="center"/>
                  </w:pPr>
                  <w:r>
                    <w:t>3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p w:rsidR="009B2C0B" w:rsidRPr="009B2C0B" w:rsidRDefault="009B2C0B" w:rsidP="009B2C0B">
                  <w:pPr>
                    <w:keepNext/>
                    <w:keepLines/>
                    <w:adjustRightInd w:val="0"/>
                    <w:contextualSpacing/>
                    <w:mirrorIndents/>
                    <w:jc w:val="both"/>
                    <w:outlineLvl w:val="1"/>
                    <w:rPr>
                      <w:rFonts w:eastAsia="Calibri"/>
                      <w:bCs/>
                      <w:lang w:eastAsia="en-US"/>
                    </w:rPr>
                  </w:pPr>
                  <w:r w:rsidRPr="009B2C0B">
                    <w:t xml:space="preserve">Комплекс имущества </w:t>
                  </w:r>
                  <w:proofErr w:type="spellStart"/>
                  <w:r w:rsidRPr="009B2C0B">
                    <w:t>Тетюшского</w:t>
                  </w:r>
                  <w:proofErr w:type="spellEnd"/>
                  <w:r w:rsidRPr="009B2C0B">
                    <w:t xml:space="preserve"> маслодельно-сыродельного комбината </w:t>
                  </w:r>
                  <w:r w:rsidRPr="009B2C0B">
                    <w:rPr>
                      <w:rFonts w:eastAsia="Calibri"/>
                      <w:bCs/>
                      <w:lang w:eastAsia="en-US"/>
                    </w:rPr>
                    <w:t xml:space="preserve"> </w:t>
                  </w:r>
                </w:p>
              </w:tc>
            </w:tr>
          </w:tbl>
          <w:p w:rsidR="00F32EFA" w:rsidRPr="00F32EFA" w:rsidRDefault="00F32EFA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</w:p>
        </w:tc>
      </w:tr>
      <w:tr w:rsidR="00182C13" w:rsidRPr="00F32EFA" w:rsidTr="00E45EBE">
        <w:trPr>
          <w:trHeight w:val="543"/>
        </w:trPr>
        <w:tc>
          <w:tcPr>
            <w:tcW w:w="709" w:type="dxa"/>
            <w:vAlign w:val="center"/>
          </w:tcPr>
          <w:p w:rsidR="00182C13" w:rsidRPr="00F32EFA" w:rsidRDefault="00182C13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82C13" w:rsidRDefault="00182C13" w:rsidP="00AA2EE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182C13" w:rsidRPr="00695AE1" w:rsidRDefault="00182C13" w:rsidP="00AA2EE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Pr="00695AE1">
              <w:t>назначен</w:t>
            </w:r>
            <w:r>
              <w:t>а</w:t>
            </w:r>
            <w:r w:rsidRPr="00695AE1">
              <w:t xml:space="preserve"> на </w:t>
            </w:r>
            <w:r>
              <w:t>16.07</w:t>
            </w:r>
            <w:r w:rsidRPr="00695AE1">
              <w:t>.201</w:t>
            </w:r>
            <w:r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182C13" w:rsidRPr="00695AE1" w:rsidRDefault="00182C13" w:rsidP="00AA2EE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182C13" w:rsidRPr="00F32EFA" w:rsidTr="009B2C0B">
        <w:trPr>
          <w:trHeight w:val="878"/>
        </w:trPr>
        <w:tc>
          <w:tcPr>
            <w:tcW w:w="709" w:type="dxa"/>
            <w:vAlign w:val="center"/>
          </w:tcPr>
          <w:p w:rsidR="00182C13" w:rsidRPr="00F32EFA" w:rsidRDefault="00182C13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182C13" w:rsidRPr="00F32EFA" w:rsidRDefault="00182C13" w:rsidP="00182C1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</w:t>
            </w:r>
            <w:r>
              <w:t>продажи имущества посредством публичного предложения</w:t>
            </w:r>
            <w:r w:rsidRPr="00F32EFA">
              <w:t xml:space="preserve">, проводимого в электронной форме от </w:t>
            </w:r>
            <w:r>
              <w:t>15.07</w:t>
            </w:r>
            <w:r w:rsidRPr="00F32EFA">
              <w:t>.201</w:t>
            </w:r>
            <w:r>
              <w:t xml:space="preserve">9 </w:t>
            </w:r>
            <w:r w:rsidRPr="004776F5">
              <w:rPr>
                <w:b/>
              </w:rPr>
              <w:t xml:space="preserve">продажа имущества </w:t>
            </w:r>
            <w:r>
              <w:rPr>
                <w:b/>
              </w:rPr>
              <w:t xml:space="preserve">по лотам №№1, 2, 3 </w:t>
            </w:r>
            <w:r w:rsidRPr="00F32EFA">
              <w:rPr>
                <w:b/>
              </w:rPr>
              <w:t>признан</w:t>
            </w:r>
            <w:r>
              <w:rPr>
                <w:b/>
              </w:rPr>
              <w:t>а</w:t>
            </w:r>
            <w:r w:rsidRPr="00F32EFA">
              <w:rPr>
                <w:b/>
              </w:rPr>
              <w:t xml:space="preserve"> несостоявш</w:t>
            </w:r>
            <w:r>
              <w:rPr>
                <w:b/>
              </w:rPr>
              <w:t>ейся</w:t>
            </w:r>
            <w:r w:rsidRPr="00F32EFA">
              <w:rPr>
                <w:b/>
              </w:rPr>
              <w:t xml:space="preserve"> ввиду отсутствия  заявок.</w:t>
            </w:r>
          </w:p>
        </w:tc>
        <w:bookmarkStart w:id="2" w:name="_GoBack"/>
        <w:bookmarkEnd w:id="2"/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2C13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2C0B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46E7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14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3DC7-6451-491E-843B-4F6C991C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46</cp:revision>
  <cp:lastPrinted>2012-06-15T10:20:00Z</cp:lastPrinted>
  <dcterms:created xsi:type="dcterms:W3CDTF">2012-06-13T06:12:00Z</dcterms:created>
  <dcterms:modified xsi:type="dcterms:W3CDTF">2019-07-15T09:57:00Z</dcterms:modified>
</cp:coreProperties>
</file>