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F8" w:rsidRPr="00AE6CCA" w:rsidRDefault="004C13F8" w:rsidP="004C13F8">
      <w:pPr>
        <w:spacing w:line="276" w:lineRule="auto"/>
        <w:jc w:val="right"/>
        <w:rPr>
          <w:sz w:val="28"/>
          <w:szCs w:val="28"/>
        </w:rPr>
      </w:pPr>
      <w:r w:rsidRPr="00AE6CCA">
        <w:rPr>
          <w:sz w:val="28"/>
          <w:szCs w:val="28"/>
        </w:rPr>
        <w:t>Приложение</w:t>
      </w:r>
    </w:p>
    <w:p w:rsidR="001E0F4C" w:rsidRPr="00AE6CCA" w:rsidRDefault="001E0F4C" w:rsidP="004C13F8">
      <w:pPr>
        <w:spacing w:line="276" w:lineRule="auto"/>
        <w:jc w:val="right"/>
        <w:rPr>
          <w:sz w:val="28"/>
          <w:szCs w:val="28"/>
        </w:rPr>
      </w:pPr>
    </w:p>
    <w:p w:rsidR="005401FA" w:rsidRPr="00AE6CCA" w:rsidRDefault="001F76F2" w:rsidP="00C61D95">
      <w:pPr>
        <w:spacing w:line="276" w:lineRule="auto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t>Отчет о реализации в 20</w:t>
      </w:r>
      <w:r w:rsidR="006B6296" w:rsidRPr="00AE6CCA">
        <w:rPr>
          <w:b/>
          <w:sz w:val="28"/>
          <w:szCs w:val="28"/>
        </w:rPr>
        <w:t>2</w:t>
      </w:r>
      <w:r w:rsidR="00A256C0" w:rsidRPr="00AE6CCA">
        <w:rPr>
          <w:b/>
          <w:sz w:val="28"/>
          <w:szCs w:val="28"/>
        </w:rPr>
        <w:t>3</w:t>
      </w:r>
      <w:r w:rsidRPr="00AE6CCA">
        <w:rPr>
          <w:b/>
          <w:sz w:val="28"/>
          <w:szCs w:val="28"/>
        </w:rPr>
        <w:t xml:space="preserve"> году Стратегии развития государственной политики в сфере земельных и имущественных отношений   </w:t>
      </w:r>
      <w:r w:rsidR="007C620D" w:rsidRPr="00AE6CCA">
        <w:rPr>
          <w:b/>
          <w:sz w:val="28"/>
          <w:szCs w:val="28"/>
        </w:rPr>
        <w:t xml:space="preserve">                 </w:t>
      </w:r>
      <w:r w:rsidRPr="00AE6CCA">
        <w:rPr>
          <w:b/>
          <w:sz w:val="28"/>
          <w:szCs w:val="28"/>
        </w:rPr>
        <w:t>Республики Татарстан на 2016</w:t>
      </w:r>
      <w:r w:rsidR="00E818EE" w:rsidRPr="00AE6CCA">
        <w:rPr>
          <w:b/>
          <w:sz w:val="28"/>
          <w:szCs w:val="28"/>
        </w:rPr>
        <w:t xml:space="preserve"> </w:t>
      </w:r>
      <w:r w:rsidRPr="00AE6CCA">
        <w:rPr>
          <w:b/>
          <w:sz w:val="28"/>
          <w:szCs w:val="28"/>
        </w:rPr>
        <w:t>–</w:t>
      </w:r>
      <w:r w:rsidR="00E818EE" w:rsidRPr="00AE6CCA">
        <w:rPr>
          <w:b/>
          <w:sz w:val="28"/>
          <w:szCs w:val="28"/>
        </w:rPr>
        <w:t xml:space="preserve"> </w:t>
      </w:r>
      <w:r w:rsidRPr="00AE6CCA">
        <w:rPr>
          <w:b/>
          <w:sz w:val="28"/>
          <w:szCs w:val="28"/>
        </w:rPr>
        <w:t>2021 годы и на период до 2030 года</w:t>
      </w:r>
      <w:r w:rsidR="00C61D95" w:rsidRPr="00AE6CCA">
        <w:rPr>
          <w:b/>
          <w:sz w:val="28"/>
          <w:szCs w:val="28"/>
        </w:rPr>
        <w:t xml:space="preserve">, утвержденной приказом Министерства земельных и имущественных </w:t>
      </w:r>
      <w:r w:rsidR="007C620D" w:rsidRPr="00AE6CCA">
        <w:rPr>
          <w:b/>
          <w:sz w:val="28"/>
          <w:szCs w:val="28"/>
        </w:rPr>
        <w:t xml:space="preserve">     </w:t>
      </w:r>
      <w:r w:rsidR="00C61D95" w:rsidRPr="00AE6CCA">
        <w:rPr>
          <w:b/>
          <w:sz w:val="28"/>
          <w:szCs w:val="28"/>
        </w:rPr>
        <w:t>отношений Республики Татарстан от 31.07.2017 № 364-пр</w:t>
      </w:r>
      <w:r w:rsidR="00BA6CDD" w:rsidRPr="00AE6CCA">
        <w:rPr>
          <w:b/>
          <w:sz w:val="28"/>
          <w:szCs w:val="28"/>
        </w:rPr>
        <w:t xml:space="preserve"> (в редакции приказа от 12.04.2021 № 174-пр)</w:t>
      </w:r>
    </w:p>
    <w:p w:rsidR="001F76F2" w:rsidRPr="00AE6CCA" w:rsidRDefault="001F76F2" w:rsidP="00C61D95">
      <w:pPr>
        <w:spacing w:line="276" w:lineRule="auto"/>
        <w:jc w:val="center"/>
        <w:rPr>
          <w:b/>
          <w:sz w:val="28"/>
          <w:szCs w:val="28"/>
        </w:rPr>
      </w:pPr>
    </w:p>
    <w:p w:rsidR="005401FA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Основной целью Стратегии развития государственной политики в сфере земельных и имущественных отношений Республики Татарстан на 2016</w:t>
      </w:r>
      <w:r w:rsidR="00362B26" w:rsidRPr="00AE6CCA">
        <w:rPr>
          <w:sz w:val="28"/>
          <w:szCs w:val="28"/>
        </w:rPr>
        <w:t xml:space="preserve"> </w:t>
      </w:r>
      <w:r w:rsidRPr="00AE6CCA">
        <w:rPr>
          <w:sz w:val="28"/>
          <w:szCs w:val="28"/>
        </w:rPr>
        <w:t>–</w:t>
      </w:r>
      <w:r w:rsidR="00362B26" w:rsidRPr="00AE6CCA">
        <w:rPr>
          <w:sz w:val="28"/>
          <w:szCs w:val="28"/>
        </w:rPr>
        <w:t xml:space="preserve"> </w:t>
      </w:r>
      <w:r w:rsidRPr="00AE6CCA">
        <w:rPr>
          <w:sz w:val="28"/>
          <w:szCs w:val="28"/>
        </w:rPr>
        <w:t>2021</w:t>
      </w:r>
      <w:r w:rsidR="001E0F4C" w:rsidRPr="00AE6CCA">
        <w:rPr>
          <w:sz w:val="28"/>
          <w:szCs w:val="28"/>
        </w:rPr>
        <w:t> </w:t>
      </w:r>
      <w:r w:rsidRPr="00AE6CCA">
        <w:rPr>
          <w:sz w:val="28"/>
          <w:szCs w:val="28"/>
        </w:rPr>
        <w:t>годы и на период до 2030 года, утвержденной приказом Министерства земельных и имущественных отношений Республики Татарстан от 31.07.2017 №</w:t>
      </w:r>
      <w:r w:rsidR="00152393" w:rsidRPr="00AE6CCA">
        <w:rPr>
          <w:sz w:val="28"/>
          <w:szCs w:val="28"/>
        </w:rPr>
        <w:t> </w:t>
      </w:r>
      <w:r w:rsidRPr="00AE6CCA">
        <w:rPr>
          <w:sz w:val="28"/>
          <w:szCs w:val="28"/>
        </w:rPr>
        <w:t>364-пр</w:t>
      </w:r>
      <w:r w:rsidR="00D02F16" w:rsidRPr="00AE6CCA">
        <w:rPr>
          <w:sz w:val="28"/>
          <w:szCs w:val="28"/>
        </w:rPr>
        <w:t xml:space="preserve"> (в редакции приказа от 12.04.2021 № 174-пр)</w:t>
      </w:r>
      <w:r w:rsidRPr="00AE6CCA">
        <w:rPr>
          <w:sz w:val="28"/>
          <w:szCs w:val="28"/>
        </w:rPr>
        <w:t xml:space="preserve"> (далее – Стратегия)</w:t>
      </w:r>
      <w:r w:rsidR="000055B2" w:rsidRPr="00AE6CCA">
        <w:rPr>
          <w:sz w:val="28"/>
          <w:szCs w:val="28"/>
        </w:rPr>
        <w:t>,</w:t>
      </w:r>
      <w:r w:rsidRPr="00AE6CCA">
        <w:rPr>
          <w:sz w:val="28"/>
          <w:szCs w:val="28"/>
        </w:rPr>
        <w:t xml:space="preserve"> является повышение эффективности управления государственным и муниципальным имуществом, развитие земельных и имущественных отношений в Республике Татарстан как одного из значимых факторов социального и экономического роста Республики Татарстан.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Для достижения указанной цели в рамках Стратегии Министерством земельных и имущественных отношений Республики Татарстан</w:t>
      </w:r>
      <w:r w:rsidR="00A862F4" w:rsidRPr="00AE6CCA">
        <w:rPr>
          <w:sz w:val="28"/>
          <w:szCs w:val="28"/>
        </w:rPr>
        <w:t xml:space="preserve"> (далее – Министерство)</w:t>
      </w:r>
      <w:r w:rsidRPr="00AE6CCA">
        <w:rPr>
          <w:sz w:val="28"/>
          <w:szCs w:val="28"/>
        </w:rPr>
        <w:t xml:space="preserve"> решаются следующие задачи: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1.</w:t>
      </w:r>
      <w:r w:rsidR="00152393" w:rsidRPr="00AE6CCA">
        <w:rPr>
          <w:sz w:val="28"/>
          <w:szCs w:val="28"/>
        </w:rPr>
        <w:t> </w:t>
      </w:r>
      <w:r w:rsidR="008E7854" w:rsidRPr="00AE6CCA">
        <w:rPr>
          <w:sz w:val="28"/>
          <w:szCs w:val="28"/>
        </w:rPr>
        <w:t>О</w:t>
      </w:r>
      <w:r w:rsidRPr="00AE6CCA">
        <w:rPr>
          <w:sz w:val="28"/>
          <w:szCs w:val="28"/>
        </w:rPr>
        <w:t>беспечение полного и достоверного учета государственного и муниципального имущества и земельных участков Республики Татарстан;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2.</w:t>
      </w:r>
      <w:r w:rsidR="008E7854" w:rsidRPr="00AE6CCA">
        <w:rPr>
          <w:sz w:val="28"/>
          <w:szCs w:val="28"/>
        </w:rPr>
        <w:t> О</w:t>
      </w:r>
      <w:r w:rsidRPr="00AE6CCA">
        <w:rPr>
          <w:sz w:val="28"/>
          <w:szCs w:val="28"/>
        </w:rPr>
        <w:t>беспечение доходности государственного и муниципального имущества;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3.</w:t>
      </w:r>
      <w:r w:rsidR="008E7854" w:rsidRPr="00AE6CCA">
        <w:rPr>
          <w:sz w:val="28"/>
          <w:szCs w:val="28"/>
        </w:rPr>
        <w:t> О</w:t>
      </w:r>
      <w:r w:rsidRPr="00AE6CCA">
        <w:rPr>
          <w:sz w:val="28"/>
          <w:szCs w:val="28"/>
        </w:rPr>
        <w:t>беспечение эффективного использования государственного и муниципального имущества организациями-балансодержателями;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4.</w:t>
      </w:r>
      <w:r w:rsidR="008E7854" w:rsidRPr="00AE6CCA">
        <w:rPr>
          <w:sz w:val="28"/>
          <w:szCs w:val="28"/>
        </w:rPr>
        <w:t> У</w:t>
      </w:r>
      <w:r w:rsidRPr="00AE6CCA">
        <w:rPr>
          <w:sz w:val="28"/>
          <w:szCs w:val="28"/>
        </w:rPr>
        <w:t>величение поступления земельного налога;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5.</w:t>
      </w:r>
      <w:r w:rsidR="008E7854" w:rsidRPr="00AE6CCA">
        <w:rPr>
          <w:sz w:val="28"/>
          <w:szCs w:val="28"/>
        </w:rPr>
        <w:t> П</w:t>
      </w:r>
      <w:r w:rsidRPr="00AE6CCA">
        <w:rPr>
          <w:sz w:val="28"/>
          <w:szCs w:val="28"/>
        </w:rPr>
        <w:t>овышение эффективности использования земель сельскохозяйственного назначения;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6.</w:t>
      </w:r>
      <w:r w:rsidR="00180E58" w:rsidRPr="00AE6CCA">
        <w:rPr>
          <w:sz w:val="28"/>
          <w:szCs w:val="28"/>
        </w:rPr>
        <w:t> О</w:t>
      </w:r>
      <w:r w:rsidRPr="00AE6CCA">
        <w:rPr>
          <w:sz w:val="28"/>
          <w:szCs w:val="28"/>
        </w:rPr>
        <w:t>беспечение установленного порядка согласования документов территориального планирования и повышение их качества;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7.</w:t>
      </w:r>
      <w:r w:rsidR="00180E58" w:rsidRPr="00AE6CCA">
        <w:rPr>
          <w:sz w:val="28"/>
          <w:szCs w:val="28"/>
        </w:rPr>
        <w:t> В</w:t>
      </w:r>
      <w:r w:rsidRPr="00AE6CCA">
        <w:rPr>
          <w:sz w:val="28"/>
          <w:szCs w:val="28"/>
        </w:rPr>
        <w:t>овлечение в хозяйственный оборот объектов государственной и муниципальной собственности, находящихся в неудовлетворительном состоянии;</w:t>
      </w:r>
    </w:p>
    <w:p w:rsidR="00C61D95" w:rsidRPr="00AE6CCA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8.</w:t>
      </w:r>
      <w:r w:rsidR="00180E58" w:rsidRPr="00AE6CCA">
        <w:rPr>
          <w:sz w:val="28"/>
          <w:szCs w:val="28"/>
        </w:rPr>
        <w:t> О</w:t>
      </w:r>
      <w:r w:rsidRPr="00AE6CCA">
        <w:rPr>
          <w:sz w:val="28"/>
          <w:szCs w:val="28"/>
        </w:rPr>
        <w:t xml:space="preserve">беспечение реализации социальных программ, относящихся к сфере земельных и имущественных отношений, в том числе предоставления земельных участков многодетным семьям; </w:t>
      </w:r>
    </w:p>
    <w:p w:rsidR="000A19BB" w:rsidRPr="00AE6CCA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>9.</w:t>
      </w:r>
      <w:r w:rsidR="00180E58" w:rsidRPr="00AE6CCA">
        <w:rPr>
          <w:sz w:val="28"/>
          <w:szCs w:val="28"/>
        </w:rPr>
        <w:t> П</w:t>
      </w:r>
      <w:r w:rsidRPr="00AE6CCA">
        <w:rPr>
          <w:sz w:val="28"/>
          <w:szCs w:val="28"/>
        </w:rPr>
        <w:t>овышение качества деятельности Палат, Управлений, Комитета имущественных и земельных и отношений муниципальных образований Республики Татарстан.</w:t>
      </w:r>
    </w:p>
    <w:p w:rsidR="00472070" w:rsidRPr="00AE6CCA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lastRenderedPageBreak/>
        <w:t xml:space="preserve">Ожидаемые результаты (индикаторы) </w:t>
      </w:r>
      <w:r w:rsidR="000A19BB" w:rsidRPr="00AE6CCA">
        <w:rPr>
          <w:sz w:val="28"/>
          <w:szCs w:val="28"/>
        </w:rPr>
        <w:t>реализации Стратегии</w:t>
      </w:r>
      <w:r w:rsidR="007D32C0" w:rsidRPr="00AE6CCA">
        <w:rPr>
          <w:sz w:val="28"/>
          <w:szCs w:val="28"/>
        </w:rPr>
        <w:t>, установленные на 20</w:t>
      </w:r>
      <w:r w:rsidR="001D53B0" w:rsidRPr="00AE6CCA">
        <w:rPr>
          <w:sz w:val="28"/>
          <w:szCs w:val="28"/>
        </w:rPr>
        <w:t>2</w:t>
      </w:r>
      <w:r w:rsidR="00A256C0" w:rsidRPr="00AE6CCA">
        <w:rPr>
          <w:sz w:val="28"/>
          <w:szCs w:val="28"/>
        </w:rPr>
        <w:t>3</w:t>
      </w:r>
      <w:r w:rsidRPr="00AE6CCA">
        <w:rPr>
          <w:sz w:val="28"/>
          <w:szCs w:val="28"/>
        </w:rPr>
        <w:t xml:space="preserve"> год, достигнуты.</w:t>
      </w:r>
      <w:r w:rsidR="00325CCE" w:rsidRPr="00AE6CCA">
        <w:rPr>
          <w:sz w:val="28"/>
          <w:szCs w:val="28"/>
        </w:rPr>
        <w:t xml:space="preserve"> </w:t>
      </w:r>
    </w:p>
    <w:p w:rsidR="006B6296" w:rsidRPr="00AE6CCA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 xml:space="preserve">Плановые объемы финансирования </w:t>
      </w:r>
      <w:r w:rsidR="000A19BB" w:rsidRPr="00AE6CCA">
        <w:rPr>
          <w:sz w:val="28"/>
          <w:szCs w:val="28"/>
        </w:rPr>
        <w:t>государственной программы «Управление государственным имуществом Республики Татарстан», утвержденной постановлением Кабинета Министров Республики Татарстан от 31.12.2013 №</w:t>
      </w:r>
      <w:r w:rsidR="009E14DC" w:rsidRPr="00AE6CCA">
        <w:rPr>
          <w:sz w:val="28"/>
          <w:szCs w:val="28"/>
        </w:rPr>
        <w:t> </w:t>
      </w:r>
      <w:r w:rsidR="000A19BB" w:rsidRPr="00AE6CCA">
        <w:rPr>
          <w:sz w:val="28"/>
          <w:szCs w:val="28"/>
        </w:rPr>
        <w:t>1140, обеспечивающей реализацию Стратегии,</w:t>
      </w:r>
      <w:r w:rsidRPr="00AE6CCA">
        <w:rPr>
          <w:sz w:val="28"/>
          <w:szCs w:val="28"/>
        </w:rPr>
        <w:t xml:space="preserve"> на 20</w:t>
      </w:r>
      <w:r w:rsidR="00890633" w:rsidRPr="00AE6CCA">
        <w:rPr>
          <w:sz w:val="28"/>
          <w:szCs w:val="28"/>
        </w:rPr>
        <w:t>2</w:t>
      </w:r>
      <w:r w:rsidR="00301B34" w:rsidRPr="00AE6CCA">
        <w:rPr>
          <w:sz w:val="28"/>
          <w:szCs w:val="28"/>
        </w:rPr>
        <w:t>3</w:t>
      </w:r>
      <w:r w:rsidR="009E14DC" w:rsidRPr="00AE6CCA">
        <w:rPr>
          <w:sz w:val="28"/>
          <w:szCs w:val="28"/>
        </w:rPr>
        <w:t> </w:t>
      </w:r>
      <w:r w:rsidRPr="00AE6CCA">
        <w:rPr>
          <w:sz w:val="28"/>
          <w:szCs w:val="28"/>
        </w:rPr>
        <w:t>год</w:t>
      </w:r>
      <w:r w:rsidR="00301B34" w:rsidRPr="00AE6CCA">
        <w:rPr>
          <w:sz w:val="28"/>
          <w:szCs w:val="28"/>
        </w:rPr>
        <w:t>, в соответствии со сводной бюджетной росписью Республики Татарстан на 2023 год, составили 3 235,80 млн рублей. Сумма выделенных средств на 2023 год составила 3 235,80 млн рублей, фактически использовано 3 218,10 млн рублей.</w:t>
      </w:r>
    </w:p>
    <w:p w:rsidR="003A2B8F" w:rsidRPr="00AE6CCA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AE6CCA">
        <w:rPr>
          <w:sz w:val="28"/>
          <w:szCs w:val="28"/>
        </w:rPr>
        <w:t xml:space="preserve">Финансирование </w:t>
      </w:r>
      <w:r w:rsidR="000A19BB" w:rsidRPr="00AE6CCA">
        <w:rPr>
          <w:sz w:val="28"/>
          <w:szCs w:val="28"/>
        </w:rPr>
        <w:t>государственной программы «Управление государственным имуществом Республики Татарстан», утвержденной постановлением Кабинета Министров Республики Тата</w:t>
      </w:r>
      <w:r w:rsidR="005D165B" w:rsidRPr="00AE6CCA">
        <w:rPr>
          <w:sz w:val="28"/>
          <w:szCs w:val="28"/>
        </w:rPr>
        <w:t>р</w:t>
      </w:r>
      <w:r w:rsidR="000A19BB" w:rsidRPr="00AE6CCA">
        <w:rPr>
          <w:sz w:val="28"/>
          <w:szCs w:val="28"/>
        </w:rPr>
        <w:t>стан от 31.12.2013 №</w:t>
      </w:r>
      <w:r w:rsidR="00301B34" w:rsidRPr="00AE6CCA">
        <w:rPr>
          <w:sz w:val="28"/>
          <w:szCs w:val="28"/>
        </w:rPr>
        <w:t> </w:t>
      </w:r>
      <w:r w:rsidR="000A19BB" w:rsidRPr="00AE6CCA">
        <w:rPr>
          <w:sz w:val="28"/>
          <w:szCs w:val="28"/>
        </w:rPr>
        <w:t>1140, обеспечивающей реализацию Стратегии,</w:t>
      </w:r>
      <w:r w:rsidRPr="00AE6CCA">
        <w:rPr>
          <w:sz w:val="28"/>
          <w:szCs w:val="28"/>
        </w:rPr>
        <w:t xml:space="preserve"> осуществляется </w:t>
      </w:r>
      <w:r w:rsidR="00A70F1F" w:rsidRPr="00AE6CCA">
        <w:rPr>
          <w:sz w:val="28"/>
          <w:szCs w:val="28"/>
        </w:rPr>
        <w:t>за счет средств бюджета Республики Татарстан и бюджета Российской Федерации.</w:t>
      </w:r>
    </w:p>
    <w:p w:rsidR="0046715D" w:rsidRPr="00AE6CCA" w:rsidRDefault="009C1E88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lastRenderedPageBreak/>
        <w:t>Информация о достижении в 20</w:t>
      </w:r>
      <w:r w:rsidR="006B6296" w:rsidRPr="00AE6CCA">
        <w:rPr>
          <w:b/>
          <w:sz w:val="28"/>
          <w:szCs w:val="28"/>
        </w:rPr>
        <w:t>2</w:t>
      </w:r>
      <w:r w:rsidR="00301B34" w:rsidRPr="00AE6CCA">
        <w:rPr>
          <w:b/>
          <w:sz w:val="28"/>
          <w:szCs w:val="28"/>
        </w:rPr>
        <w:t>3</w:t>
      </w:r>
      <w:r w:rsidRPr="00AE6CCA">
        <w:rPr>
          <w:b/>
          <w:sz w:val="28"/>
          <w:szCs w:val="28"/>
        </w:rPr>
        <w:t xml:space="preserve"> году целевых значений индикаторов оценки результатов реализации Стратегии развития государственной </w:t>
      </w:r>
      <w:r w:rsidR="00527618" w:rsidRPr="00AE6CCA">
        <w:rPr>
          <w:b/>
          <w:sz w:val="28"/>
          <w:szCs w:val="28"/>
        </w:rPr>
        <w:t xml:space="preserve">   </w:t>
      </w:r>
      <w:r w:rsidRPr="00AE6CCA">
        <w:rPr>
          <w:b/>
          <w:sz w:val="28"/>
          <w:szCs w:val="28"/>
        </w:rPr>
        <w:t xml:space="preserve">политики в сфере земельных и имущественных отношений </w:t>
      </w:r>
      <w:r w:rsidR="00527618" w:rsidRPr="00AE6CCA">
        <w:rPr>
          <w:b/>
          <w:sz w:val="28"/>
          <w:szCs w:val="28"/>
        </w:rPr>
        <w:t xml:space="preserve">                     </w:t>
      </w:r>
      <w:r w:rsidRPr="00AE6CCA">
        <w:rPr>
          <w:b/>
          <w:sz w:val="28"/>
          <w:szCs w:val="28"/>
        </w:rPr>
        <w:t>Республики Татарстан на 2016</w:t>
      </w:r>
      <w:r w:rsidR="006B6296" w:rsidRPr="00AE6CCA">
        <w:rPr>
          <w:b/>
          <w:sz w:val="28"/>
          <w:szCs w:val="28"/>
        </w:rPr>
        <w:t xml:space="preserve"> </w:t>
      </w:r>
      <w:r w:rsidR="003A2B8F" w:rsidRPr="00AE6CCA">
        <w:rPr>
          <w:b/>
          <w:sz w:val="28"/>
          <w:szCs w:val="28"/>
        </w:rPr>
        <w:t>–</w:t>
      </w:r>
      <w:r w:rsidR="006B6296" w:rsidRPr="00AE6CCA">
        <w:rPr>
          <w:b/>
          <w:sz w:val="28"/>
          <w:szCs w:val="28"/>
        </w:rPr>
        <w:t xml:space="preserve"> </w:t>
      </w:r>
      <w:r w:rsidRPr="00AE6CCA">
        <w:rPr>
          <w:b/>
          <w:sz w:val="28"/>
          <w:szCs w:val="28"/>
        </w:rPr>
        <w:t xml:space="preserve">2021 годы и на период до 2030 </w:t>
      </w:r>
      <w:r w:rsidR="00BA5E71" w:rsidRPr="00AE6CCA">
        <w:rPr>
          <w:b/>
          <w:sz w:val="28"/>
          <w:szCs w:val="28"/>
        </w:rPr>
        <w:t>года,</w:t>
      </w:r>
      <w:r w:rsidR="00BA5E71" w:rsidRPr="00AE6CCA">
        <w:rPr>
          <w:b/>
          <w:szCs w:val="28"/>
        </w:rPr>
        <w:t xml:space="preserve"> </w:t>
      </w:r>
      <w:r w:rsidR="00BA5E71" w:rsidRPr="00AE6CCA">
        <w:rPr>
          <w:b/>
          <w:sz w:val="28"/>
          <w:szCs w:val="28"/>
        </w:rPr>
        <w:t>утвержденной</w:t>
      </w:r>
      <w:r w:rsidRPr="00AE6CCA">
        <w:rPr>
          <w:b/>
          <w:sz w:val="28"/>
          <w:szCs w:val="28"/>
        </w:rPr>
        <w:t xml:space="preserve"> приказом Министерства земельных и имущественных </w:t>
      </w:r>
      <w:r w:rsidR="00527618" w:rsidRPr="00AE6CCA">
        <w:rPr>
          <w:b/>
          <w:sz w:val="28"/>
          <w:szCs w:val="28"/>
        </w:rPr>
        <w:t xml:space="preserve">     </w:t>
      </w:r>
      <w:r w:rsidRPr="00AE6CCA">
        <w:rPr>
          <w:b/>
          <w:sz w:val="28"/>
          <w:szCs w:val="28"/>
        </w:rPr>
        <w:t>отношений Республики Татарстан от 31.07.2017 № 364-пр</w:t>
      </w:r>
      <w:r w:rsidR="0046715D" w:rsidRPr="00AE6CCA">
        <w:rPr>
          <w:b/>
          <w:sz w:val="28"/>
          <w:szCs w:val="28"/>
        </w:rPr>
        <w:t xml:space="preserve"> </w:t>
      </w:r>
    </w:p>
    <w:p w:rsidR="009C1E88" w:rsidRPr="00AE6CCA" w:rsidRDefault="0046715D" w:rsidP="00367CDA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t>(в редакции приказа от 12.04.2021 № 174-пр)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343"/>
        <w:gridCol w:w="1344"/>
      </w:tblGrid>
      <w:tr w:rsidR="00AE6CCA" w:rsidRPr="00AE6CCA" w:rsidTr="00367CDA">
        <w:trPr>
          <w:cantSplit/>
          <w:tblHeader/>
        </w:trPr>
        <w:tc>
          <w:tcPr>
            <w:tcW w:w="6941" w:type="dxa"/>
            <w:vMerge w:val="restart"/>
          </w:tcPr>
          <w:p w:rsidR="00A9065C" w:rsidRPr="00AE6CCA" w:rsidRDefault="00A9065C" w:rsidP="00367CDA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6CCA">
              <w:rPr>
                <w:b/>
              </w:rPr>
              <w:t>Индикатор</w:t>
            </w:r>
          </w:p>
        </w:tc>
        <w:tc>
          <w:tcPr>
            <w:tcW w:w="2687" w:type="dxa"/>
            <w:gridSpan w:val="2"/>
          </w:tcPr>
          <w:p w:rsidR="00A9065C" w:rsidRPr="00AE6CCA" w:rsidRDefault="00A9065C" w:rsidP="00367CD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 w:rsidRPr="00AE6CCA">
              <w:rPr>
                <w:b/>
              </w:rPr>
              <w:t xml:space="preserve">Значение индикатора </w:t>
            </w:r>
          </w:p>
          <w:p w:rsidR="00A9065C" w:rsidRPr="00AE6CCA" w:rsidRDefault="00A9065C" w:rsidP="00301B34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6CCA">
              <w:rPr>
                <w:b/>
              </w:rPr>
              <w:t>за 20</w:t>
            </w:r>
            <w:r w:rsidR="006B6296" w:rsidRPr="00AE6CCA">
              <w:rPr>
                <w:b/>
              </w:rPr>
              <w:t>2</w:t>
            </w:r>
            <w:r w:rsidR="00301B34" w:rsidRPr="00AE6CCA">
              <w:rPr>
                <w:b/>
              </w:rPr>
              <w:t>3</w:t>
            </w:r>
            <w:r w:rsidRPr="00AE6CCA">
              <w:rPr>
                <w:b/>
              </w:rPr>
              <w:t xml:space="preserve"> год</w:t>
            </w:r>
          </w:p>
        </w:tc>
      </w:tr>
      <w:tr w:rsidR="00AE6CCA" w:rsidRPr="00AE6CCA" w:rsidTr="00367CDA">
        <w:trPr>
          <w:cantSplit/>
          <w:tblHeader/>
        </w:trPr>
        <w:tc>
          <w:tcPr>
            <w:tcW w:w="6941" w:type="dxa"/>
            <w:vMerge/>
          </w:tcPr>
          <w:p w:rsidR="00A9065C" w:rsidRPr="00AE6CCA" w:rsidRDefault="00A9065C" w:rsidP="00367CDA">
            <w:pPr>
              <w:keepNext/>
              <w:keepLine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A9065C" w:rsidRPr="00AE6CCA" w:rsidRDefault="00A9065C" w:rsidP="00367CDA">
            <w:pPr>
              <w:keepNext/>
              <w:keepLines/>
              <w:jc w:val="center"/>
              <w:rPr>
                <w:b/>
              </w:rPr>
            </w:pPr>
            <w:r w:rsidRPr="00AE6CCA">
              <w:rPr>
                <w:b/>
              </w:rPr>
              <w:t>План</w:t>
            </w:r>
          </w:p>
        </w:tc>
        <w:tc>
          <w:tcPr>
            <w:tcW w:w="1344" w:type="dxa"/>
            <w:vAlign w:val="center"/>
          </w:tcPr>
          <w:p w:rsidR="00A9065C" w:rsidRPr="00AE6CCA" w:rsidRDefault="00A9065C" w:rsidP="00367CDA">
            <w:pPr>
              <w:keepNext/>
              <w:keepLines/>
              <w:jc w:val="center"/>
              <w:rPr>
                <w:b/>
              </w:rPr>
            </w:pPr>
            <w:r w:rsidRPr="00AE6CCA">
              <w:rPr>
                <w:b/>
              </w:rPr>
              <w:t>Факт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государственных унитарных предприятий и государственных учреждений, информация о составе имущества которых актуализирована в Реестре государственной собственности Республики Татарстан, в общем количестве государственных унитарных предприятий и государственных учреждений (без учета организаций-банкротов и находящихся в ликвидации), процентов</w:t>
            </w:r>
          </w:p>
        </w:tc>
        <w:tc>
          <w:tcPr>
            <w:tcW w:w="1343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  <w:tc>
          <w:tcPr>
            <w:tcW w:w="1344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Выполнение бюджетного задания в части доходов от реализации и использования государственного имущества и земельных участков, процентов</w:t>
            </w:r>
          </w:p>
        </w:tc>
        <w:tc>
          <w:tcPr>
            <w:tcW w:w="1343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  <w:tc>
          <w:tcPr>
            <w:tcW w:w="1344" w:type="dxa"/>
            <w:vAlign w:val="center"/>
          </w:tcPr>
          <w:p w:rsidR="00A9065C" w:rsidRPr="00AE6CCA" w:rsidRDefault="00E22114" w:rsidP="00E7018B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акционерных обществ с долей Республики Татарстан в уставном капитале от 50 до 100% и государственных унитарных предприятий, финансово-хозяйственная деятельность которых проанализирована Министерством земельных и имущественных отношений Республики Татарстан, в общем количестве таких предприятий, процентов</w:t>
            </w:r>
          </w:p>
        </w:tc>
        <w:tc>
          <w:tcPr>
            <w:tcW w:w="1343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  <w:tc>
          <w:tcPr>
            <w:tcW w:w="1344" w:type="dxa"/>
            <w:vAlign w:val="center"/>
          </w:tcPr>
          <w:p w:rsidR="00A9065C" w:rsidRPr="00AE6CCA" w:rsidRDefault="00A9065C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государственных учреждений, где была проведена проверка использования государственного имущества, в общем количестве государственных учреждений, процентов</w:t>
            </w:r>
          </w:p>
        </w:tc>
        <w:tc>
          <w:tcPr>
            <w:tcW w:w="1343" w:type="dxa"/>
            <w:vAlign w:val="center"/>
          </w:tcPr>
          <w:p w:rsidR="00367CDA" w:rsidRPr="00AE6CCA" w:rsidRDefault="00E22114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367CDA" w:rsidRPr="00AE6CCA">
              <w:t>,0</w:t>
            </w:r>
          </w:p>
        </w:tc>
        <w:tc>
          <w:tcPr>
            <w:tcW w:w="1344" w:type="dxa"/>
            <w:vAlign w:val="center"/>
          </w:tcPr>
          <w:p w:rsidR="00367CDA" w:rsidRPr="00AE6CCA" w:rsidRDefault="00367CDA" w:rsidP="00E7018B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100,0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  <w:vAlign w:val="center"/>
          </w:tcPr>
          <w:p w:rsidR="00367CDA" w:rsidRPr="00AE6CCA" w:rsidRDefault="00367CDA" w:rsidP="00367CDA">
            <w:pPr>
              <w:keepNext/>
              <w:keepLines/>
              <w:jc w:val="both"/>
            </w:pPr>
            <w:r w:rsidRPr="00AE6CCA">
              <w:t>Доля трудовых договоров с руководителями государственных унитарных предприятий со 100-процентным выполнением условий договора в общем количестве трудовых договоров с руководителями государственных унитарных предприятий, процентов</w:t>
            </w:r>
          </w:p>
        </w:tc>
        <w:tc>
          <w:tcPr>
            <w:tcW w:w="1343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85,0</w:t>
            </w:r>
          </w:p>
        </w:tc>
        <w:tc>
          <w:tcPr>
            <w:tcW w:w="1344" w:type="dxa"/>
            <w:vAlign w:val="center"/>
          </w:tcPr>
          <w:p w:rsidR="00367CDA" w:rsidRPr="00AE6CCA" w:rsidRDefault="00301B34" w:rsidP="00E7018B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85</w:t>
            </w:r>
            <w:r w:rsidR="00E22114" w:rsidRPr="00AE6CCA">
              <w:t>,0</w:t>
            </w:r>
            <w:bookmarkStart w:id="0" w:name="_GoBack"/>
            <w:bookmarkEnd w:id="0"/>
          </w:p>
        </w:tc>
      </w:tr>
      <w:tr w:rsidR="00AE6CCA" w:rsidRPr="00AE6CCA" w:rsidTr="00367CDA">
        <w:trPr>
          <w:cantSplit/>
        </w:trPr>
        <w:tc>
          <w:tcPr>
            <w:tcW w:w="6941" w:type="dxa"/>
            <w:vAlign w:val="center"/>
          </w:tcPr>
          <w:p w:rsidR="00367CDA" w:rsidRPr="00AE6CCA" w:rsidRDefault="00367CDA" w:rsidP="00367CDA">
            <w:pPr>
              <w:keepNext/>
              <w:keepLines/>
              <w:jc w:val="both"/>
            </w:pPr>
            <w:r w:rsidRPr="00AE6CCA">
              <w:t>Доля земельных участков, находящихся у государственных учреждений, зарегистрированных в собственность Республики Татарстан, в общем количестве земельных участков, находящихся у государственных учреждений, процентов</w:t>
            </w:r>
          </w:p>
        </w:tc>
        <w:tc>
          <w:tcPr>
            <w:tcW w:w="1343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99,0</w:t>
            </w:r>
          </w:p>
        </w:tc>
        <w:tc>
          <w:tcPr>
            <w:tcW w:w="1344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99,0</w:t>
            </w:r>
          </w:p>
        </w:tc>
      </w:tr>
      <w:tr w:rsidR="00AE6CCA" w:rsidRPr="00AE6CCA" w:rsidTr="00367CDA">
        <w:trPr>
          <w:cantSplit/>
        </w:trPr>
        <w:tc>
          <w:tcPr>
            <w:tcW w:w="6941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земельных участков, на которые оформлено право постоянного (бессрочного) пользования, в общем количестве земельных участков, предоставленных на праве постоянного (бессрочного) пользования государственным учреждениям на основании распоряжений Министерства земельных и имущественных отношений Республики Татарстан, процентов</w:t>
            </w:r>
          </w:p>
        </w:tc>
        <w:tc>
          <w:tcPr>
            <w:tcW w:w="1343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99,5</w:t>
            </w:r>
          </w:p>
        </w:tc>
        <w:tc>
          <w:tcPr>
            <w:tcW w:w="1344" w:type="dxa"/>
            <w:vAlign w:val="center"/>
          </w:tcPr>
          <w:p w:rsidR="00367CDA" w:rsidRPr="00AE6CCA" w:rsidRDefault="00367CDA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99,5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6"/>
        <w:gridCol w:w="1275"/>
        <w:gridCol w:w="1417"/>
      </w:tblGrid>
      <w:tr w:rsidR="00AE6CCA" w:rsidRPr="00AE6CCA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lastRenderedPageBreak/>
              <w:t>Доля многодетных семей, получивших бесплатно земельные участки, в общем числе многодетных семей, вставших на учет для бесплатного предоставления земельного участка на начало отчетного года,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AE6CCA" w:rsidRDefault="00301B34" w:rsidP="00E221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66,5</w:t>
            </w:r>
            <w:r w:rsidR="00A77EFD" w:rsidRPr="00AE6CCA">
              <w:t>*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AE6CCA" w:rsidRDefault="00301B34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66,53</w:t>
            </w:r>
          </w:p>
        </w:tc>
      </w:tr>
      <w:tr w:rsidR="00AE6CCA" w:rsidRPr="00AE6CCA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ходатайств о переводе земель из одной категории в другую, по которым подготовлены проекты постановлений Кабинета Министров Республики Татарстан, в общем количестве поступивших ходатайств, за исключением тех, по которым отказано в рассмотрении либо отказано в переводе земель согласно законодательству,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</w:tr>
      <w:tr w:rsidR="00AE6CCA" w:rsidRPr="00AE6CCA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выполненных мероприятий по проведению государственной кадастровой оценки земельных участков и иных объектов недвижимости, а также землеустроительных работ в общем числе мероприятий по проведению государственной кадастровой оценки земельных участков и иных объектов недвижимости, а также землеустроительных работ,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</w:tr>
      <w:tr w:rsidR="00AE6CCA" w:rsidRPr="00AE6CCA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количества объектов недвижимости, по которым проведена государственная регистрация права собственности Республики Татарстан, к количеству объектов недвижимости, запланированных к регистрации в собственность Республики Татарстан,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</w:tr>
      <w:tr w:rsidR="00AE6CCA" w:rsidRPr="00AE6CCA" w:rsidTr="00367CDA">
        <w:trPr>
          <w:cantSplit/>
          <w:trHeight w:val="53"/>
          <w:jc w:val="center"/>
        </w:trPr>
        <w:tc>
          <w:tcPr>
            <w:tcW w:w="3602" w:type="pct"/>
            <w:tcBorders>
              <w:left w:val="single" w:sz="4" w:space="0" w:color="auto"/>
            </w:tcBorders>
            <w:shd w:val="clear" w:color="auto" w:fill="auto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</w:pPr>
            <w:r w:rsidRPr="00AE6CCA">
              <w:t>Доля объема имущества, приобретенного в государственную собственность Республики Татарстан, к объему имущества, запланированному к приобретению в государственную собственность Республики Татарстан, процентов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2FBD" w:rsidRPr="00AE6CCA" w:rsidRDefault="00DE2FBD" w:rsidP="00367CDA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</w:pPr>
            <w:r w:rsidRPr="00AE6CCA">
              <w:t>100</w:t>
            </w:r>
            <w:r w:rsidR="00212A70" w:rsidRPr="00AE6CCA">
              <w:t>,0</w:t>
            </w:r>
          </w:p>
        </w:tc>
      </w:tr>
    </w:tbl>
    <w:p w:rsidR="00367CDA" w:rsidRPr="00AE6CCA" w:rsidRDefault="00A77EFD" w:rsidP="00A77EFD">
      <w:pPr>
        <w:jc w:val="both"/>
        <w:rPr>
          <w:szCs w:val="28"/>
        </w:rPr>
      </w:pPr>
      <w:r w:rsidRPr="00AE6CCA">
        <w:rPr>
          <w:szCs w:val="28"/>
        </w:rPr>
        <w:t xml:space="preserve">*в соответствии с постановлением Кабинета Министров Республики, Татарстан от </w:t>
      </w:r>
      <w:r w:rsidR="007107F9" w:rsidRPr="00AE6CCA">
        <w:rPr>
          <w:szCs w:val="28"/>
        </w:rPr>
        <w:t>31.03.2023</w:t>
      </w:r>
      <w:r w:rsidRPr="00AE6CCA">
        <w:rPr>
          <w:szCs w:val="28"/>
        </w:rPr>
        <w:t xml:space="preserve"> № </w:t>
      </w:r>
      <w:r w:rsidR="007107F9" w:rsidRPr="00AE6CCA">
        <w:rPr>
          <w:szCs w:val="28"/>
        </w:rPr>
        <w:t>385</w:t>
      </w:r>
      <w:r w:rsidRPr="00AE6CCA">
        <w:rPr>
          <w:szCs w:val="28"/>
        </w:rPr>
        <w:t xml:space="preserve"> «</w:t>
      </w:r>
      <w:r w:rsidR="008D002D" w:rsidRPr="00AE6CCA">
        <w:rPr>
          <w:szCs w:val="28"/>
        </w:rPr>
        <w:t xml:space="preserve">Об утверждении </w:t>
      </w:r>
      <w:r w:rsidR="000A1C39" w:rsidRPr="00AE6CCA">
        <w:rPr>
          <w:szCs w:val="28"/>
        </w:rPr>
        <w:t>и</w:t>
      </w:r>
      <w:r w:rsidR="008D002D" w:rsidRPr="00AE6CCA">
        <w:rPr>
          <w:szCs w:val="28"/>
        </w:rPr>
        <w:t xml:space="preserve">ндикаторов оценки эффективности деятельности </w:t>
      </w:r>
      <w:r w:rsidR="004F4D30" w:rsidRPr="00AE6CCA">
        <w:rPr>
          <w:szCs w:val="28"/>
        </w:rPr>
        <w:t xml:space="preserve">республиканских </w:t>
      </w:r>
      <w:r w:rsidR="008D002D" w:rsidRPr="00AE6CCA">
        <w:rPr>
          <w:szCs w:val="28"/>
        </w:rPr>
        <w:t xml:space="preserve">органов </w:t>
      </w:r>
      <w:r w:rsidR="004F4D30" w:rsidRPr="00AE6CCA">
        <w:rPr>
          <w:szCs w:val="28"/>
        </w:rPr>
        <w:t>государственной власти</w:t>
      </w:r>
      <w:r w:rsidR="008D002D" w:rsidRPr="00AE6CCA">
        <w:rPr>
          <w:szCs w:val="28"/>
        </w:rPr>
        <w:t>, отдельных государственных учреждений Республики Татарстан и качества жизни населения на 202</w:t>
      </w:r>
      <w:r w:rsidR="004F4D30" w:rsidRPr="00AE6CCA">
        <w:rPr>
          <w:szCs w:val="28"/>
        </w:rPr>
        <w:t>3</w:t>
      </w:r>
      <w:r w:rsidR="008D002D" w:rsidRPr="00AE6CCA">
        <w:rPr>
          <w:szCs w:val="28"/>
        </w:rPr>
        <w:t xml:space="preserve"> – 202</w:t>
      </w:r>
      <w:r w:rsidR="004F4D30" w:rsidRPr="00AE6CCA">
        <w:rPr>
          <w:szCs w:val="28"/>
        </w:rPr>
        <w:t>5</w:t>
      </w:r>
      <w:r w:rsidR="008D002D" w:rsidRPr="00AE6CCA">
        <w:rPr>
          <w:szCs w:val="28"/>
        </w:rPr>
        <w:t xml:space="preserve"> годы</w:t>
      </w:r>
      <w:r w:rsidRPr="00AE6CCA">
        <w:rPr>
          <w:szCs w:val="28"/>
        </w:rPr>
        <w:t>»</w:t>
      </w:r>
    </w:p>
    <w:p w:rsidR="00212A70" w:rsidRPr="00AE6CCA" w:rsidRDefault="009C1E88" w:rsidP="00212A70">
      <w:pPr>
        <w:jc w:val="right"/>
        <w:rPr>
          <w:szCs w:val="28"/>
        </w:rPr>
        <w:sectPr w:rsidR="00212A70" w:rsidRPr="00AE6CCA" w:rsidSect="00DF115D">
          <w:headerReference w:type="default" r:id="rId8"/>
          <w:pgSz w:w="11906" w:h="16838"/>
          <w:pgMar w:top="993" w:right="1134" w:bottom="567" w:left="1134" w:header="709" w:footer="709" w:gutter="0"/>
          <w:cols w:space="1125"/>
          <w:titlePg/>
          <w:docGrid w:linePitch="360"/>
        </w:sectPr>
      </w:pPr>
      <w:r w:rsidRPr="00AE6CCA">
        <w:rPr>
          <w:szCs w:val="28"/>
        </w:rPr>
        <w:br w:type="page"/>
      </w:r>
    </w:p>
    <w:p w:rsidR="000A1C39" w:rsidRPr="00AE6CCA" w:rsidRDefault="00910F7A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lastRenderedPageBreak/>
        <w:t>Информация об исполнении в 202</w:t>
      </w:r>
      <w:r w:rsidR="005178B9" w:rsidRPr="00AE6CCA">
        <w:rPr>
          <w:b/>
          <w:sz w:val="28"/>
          <w:szCs w:val="28"/>
        </w:rPr>
        <w:t>3</w:t>
      </w:r>
      <w:r w:rsidR="00212A70" w:rsidRPr="00AE6CCA">
        <w:rPr>
          <w:b/>
          <w:sz w:val="28"/>
          <w:szCs w:val="28"/>
        </w:rPr>
        <w:t xml:space="preserve"> году </w:t>
      </w:r>
    </w:p>
    <w:p w:rsidR="000A1C39" w:rsidRPr="00AE6CCA" w:rsidRDefault="00212A70" w:rsidP="00212A70">
      <w:pPr>
        <w:spacing w:line="276" w:lineRule="auto"/>
        <w:ind w:firstLine="709"/>
        <w:jc w:val="center"/>
        <w:rPr>
          <w:b/>
          <w:szCs w:val="28"/>
        </w:rPr>
      </w:pPr>
      <w:r w:rsidRPr="00AE6CCA">
        <w:rPr>
          <w:b/>
          <w:sz w:val="28"/>
          <w:szCs w:val="28"/>
        </w:rPr>
        <w:t>Плана мероприятий по реализации Стратегии развития государственной политики в сфере земельных и имущественных отношений Республики Татарстан на 2016</w:t>
      </w:r>
      <w:r w:rsidR="00910F7A" w:rsidRPr="00AE6CCA">
        <w:rPr>
          <w:b/>
          <w:sz w:val="28"/>
          <w:szCs w:val="28"/>
        </w:rPr>
        <w:t xml:space="preserve"> </w:t>
      </w:r>
      <w:r w:rsidR="009331A3" w:rsidRPr="00AE6CCA">
        <w:rPr>
          <w:b/>
          <w:sz w:val="28"/>
          <w:szCs w:val="28"/>
        </w:rPr>
        <w:t>–</w:t>
      </w:r>
      <w:r w:rsidR="00910F7A" w:rsidRPr="00AE6CCA">
        <w:rPr>
          <w:b/>
          <w:sz w:val="28"/>
          <w:szCs w:val="28"/>
        </w:rPr>
        <w:t xml:space="preserve"> </w:t>
      </w:r>
      <w:r w:rsidRPr="00AE6CCA">
        <w:rPr>
          <w:b/>
          <w:sz w:val="28"/>
          <w:szCs w:val="28"/>
        </w:rPr>
        <w:t>2021 годы и на период до 2030 года,</w:t>
      </w:r>
      <w:r w:rsidRPr="00AE6CCA">
        <w:rPr>
          <w:b/>
          <w:szCs w:val="28"/>
        </w:rPr>
        <w:t xml:space="preserve"> </w:t>
      </w:r>
    </w:p>
    <w:p w:rsidR="000A1C39" w:rsidRPr="00AE6CCA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t xml:space="preserve">утвержденной приказом Министерства земельных и имущественных отношений Республики Татарстан </w:t>
      </w:r>
    </w:p>
    <w:p w:rsidR="009C1E88" w:rsidRPr="00AE6CCA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E6CCA">
        <w:rPr>
          <w:b/>
          <w:sz w:val="28"/>
          <w:szCs w:val="28"/>
        </w:rPr>
        <w:t>от 31.07.2017 № 364-пр</w:t>
      </w:r>
      <w:r w:rsidR="001674E5" w:rsidRPr="00AE6CCA">
        <w:rPr>
          <w:b/>
          <w:sz w:val="28"/>
          <w:szCs w:val="28"/>
        </w:rPr>
        <w:t xml:space="preserve"> (в редакции приказа от 12.04.2021 № 174-пр)</w:t>
      </w:r>
    </w:p>
    <w:p w:rsidR="00212A70" w:rsidRPr="00AE6CCA" w:rsidRDefault="00212A70" w:rsidP="00212A70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842"/>
        <w:gridCol w:w="1702"/>
        <w:gridCol w:w="992"/>
        <w:gridCol w:w="9072"/>
      </w:tblGrid>
      <w:tr w:rsidR="00AE6CCA" w:rsidRPr="00AE6CCA" w:rsidTr="000A1C39">
        <w:trPr>
          <w:trHeight w:val="132"/>
          <w:tblHeader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  <w:rPr>
                <w:b/>
              </w:rPr>
            </w:pPr>
            <w:r w:rsidRPr="00AE6CCA">
              <w:rPr>
                <w:b/>
              </w:rPr>
              <w:t>Основные направления действий Стратегии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  <w:rPr>
                <w:b/>
              </w:rPr>
            </w:pPr>
            <w:r w:rsidRPr="00AE6CCA">
              <w:rPr>
                <w:b/>
              </w:rPr>
              <w:t>Наименование основных мероприятий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  <w:rPr>
                <w:b/>
              </w:rPr>
            </w:pPr>
            <w:proofErr w:type="gramStart"/>
            <w:r w:rsidRPr="00AE6CCA">
              <w:rPr>
                <w:b/>
              </w:rPr>
              <w:t>Ответствен</w:t>
            </w:r>
            <w:r w:rsidR="008315B6" w:rsidRPr="00AE6CCA">
              <w:rPr>
                <w:b/>
              </w:rPr>
              <w:t>-</w:t>
            </w:r>
            <w:proofErr w:type="spellStart"/>
            <w:r w:rsidRPr="00AE6CCA">
              <w:rPr>
                <w:b/>
              </w:rPr>
              <w:t>ный</w:t>
            </w:r>
            <w:proofErr w:type="spellEnd"/>
            <w:proofErr w:type="gramEnd"/>
          </w:p>
          <w:p w:rsidR="00212A70" w:rsidRPr="00AE6CCA" w:rsidRDefault="00212A70" w:rsidP="00D233FE">
            <w:pPr>
              <w:jc w:val="center"/>
              <w:rPr>
                <w:b/>
              </w:rPr>
            </w:pPr>
            <w:r w:rsidRPr="00AE6CCA">
              <w:rPr>
                <w:b/>
              </w:rPr>
              <w:t>исполнитель, исполнители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  <w:rPr>
                <w:b/>
              </w:rPr>
            </w:pPr>
            <w:proofErr w:type="gramStart"/>
            <w:r w:rsidRPr="00AE6CCA">
              <w:rPr>
                <w:b/>
              </w:rPr>
              <w:t>Пери</w:t>
            </w:r>
            <w:r w:rsidR="004F5E96" w:rsidRPr="00AE6CCA">
              <w:rPr>
                <w:b/>
              </w:rPr>
              <w:t>-</w:t>
            </w:r>
            <w:r w:rsidRPr="00AE6CCA">
              <w:rPr>
                <w:b/>
              </w:rPr>
              <w:t>од</w:t>
            </w:r>
            <w:proofErr w:type="gramEnd"/>
          </w:p>
          <w:p w:rsidR="00212A70" w:rsidRPr="00AE6CCA" w:rsidRDefault="00212A70" w:rsidP="00D233FE">
            <w:pPr>
              <w:jc w:val="center"/>
              <w:rPr>
                <w:b/>
              </w:rPr>
            </w:pPr>
            <w:r w:rsidRPr="00AE6CCA">
              <w:rPr>
                <w:b/>
              </w:rPr>
              <w:t>(срок)</w:t>
            </w:r>
          </w:p>
          <w:p w:rsidR="00212A70" w:rsidRPr="00AE6CCA" w:rsidRDefault="00A862F4" w:rsidP="00D233FE">
            <w:pPr>
              <w:jc w:val="center"/>
              <w:rPr>
                <w:b/>
              </w:rPr>
            </w:pPr>
            <w:proofErr w:type="spellStart"/>
            <w:r w:rsidRPr="00AE6CCA">
              <w:rPr>
                <w:b/>
              </w:rPr>
              <w:t>реали-</w:t>
            </w:r>
            <w:r w:rsidR="00212A70" w:rsidRPr="00AE6CCA">
              <w:rPr>
                <w:b/>
              </w:rPr>
              <w:t>зации</w:t>
            </w:r>
            <w:proofErr w:type="spellEnd"/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D233FE" w:rsidP="00D233FE">
            <w:pPr>
              <w:jc w:val="center"/>
              <w:rPr>
                <w:b/>
              </w:rPr>
            </w:pPr>
            <w:r w:rsidRPr="00AE6CCA">
              <w:rPr>
                <w:b/>
              </w:rPr>
              <w:t>Информация о ходе исполнения</w:t>
            </w:r>
          </w:p>
        </w:tc>
      </w:tr>
      <w:tr w:rsidR="00AE6CCA" w:rsidRPr="00AE6CCA" w:rsidTr="005233D7">
        <w:trPr>
          <w:trHeight w:val="64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pStyle w:val="af"/>
              <w:ind w:left="0"/>
              <w:jc w:val="center"/>
            </w:pPr>
            <w:r w:rsidRPr="00AE6CCA">
              <w:t xml:space="preserve">1. Развитие учета </w:t>
            </w:r>
            <w:proofErr w:type="spellStart"/>
            <w:proofErr w:type="gramStart"/>
            <w:r w:rsidRPr="00AE6CCA">
              <w:t>государствен-ного</w:t>
            </w:r>
            <w:proofErr w:type="spellEnd"/>
            <w:proofErr w:type="gramEnd"/>
            <w:r w:rsidRPr="00AE6CCA">
              <w:t xml:space="preserve"> и </w:t>
            </w:r>
            <w:proofErr w:type="spellStart"/>
            <w:r w:rsidRPr="00AE6CCA">
              <w:t>муниципаль-ного</w:t>
            </w:r>
            <w:proofErr w:type="spellEnd"/>
            <w:r w:rsidRPr="00AE6CCA">
              <w:t xml:space="preserve"> имущества</w:t>
            </w:r>
          </w:p>
          <w:p w:rsidR="001674E5" w:rsidRPr="00AE6CCA" w:rsidRDefault="001674E5" w:rsidP="002652D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jc w:val="center"/>
            </w:pPr>
            <w:r w:rsidRPr="00AE6CCA">
              <w:t>1.1. </w:t>
            </w:r>
            <w:proofErr w:type="spellStart"/>
            <w:r w:rsidRPr="00AE6CCA">
              <w:t>Актуализа</w:t>
            </w:r>
            <w:r w:rsidR="008315B6" w:rsidRPr="00AE6CCA">
              <w:t>-</w:t>
            </w:r>
            <w:r w:rsidRPr="00AE6CCA">
              <w:t>ция</w:t>
            </w:r>
            <w:proofErr w:type="spellEnd"/>
            <w:r w:rsidRPr="00AE6CCA">
              <w:t xml:space="preserve"> сведений о составе имущества </w:t>
            </w:r>
            <w:proofErr w:type="spellStart"/>
            <w:r w:rsidRPr="00AE6CCA">
              <w:t>государствен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и </w:t>
            </w:r>
            <w:proofErr w:type="spellStart"/>
            <w:r w:rsidRPr="00AE6CCA">
              <w:t>государствен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учрежде</w:t>
            </w:r>
            <w:r w:rsidR="008315B6" w:rsidRPr="00AE6CCA">
              <w:t>-</w:t>
            </w:r>
            <w:r w:rsidRPr="00AE6CCA">
              <w:t>ний</w:t>
            </w:r>
            <w:proofErr w:type="spellEnd"/>
            <w:r w:rsidRPr="00AE6CCA">
              <w:t xml:space="preserve"> в Реестре </w:t>
            </w:r>
            <w:proofErr w:type="spellStart"/>
            <w:r w:rsidRPr="00AE6CCA">
              <w:t>государствен</w:t>
            </w:r>
            <w:proofErr w:type="spellEnd"/>
            <w:r w:rsidR="008315B6" w:rsidRPr="00AE6CCA">
              <w:t>-</w:t>
            </w:r>
            <w:r w:rsidRPr="00AE6CCA">
              <w:t xml:space="preserve">ной </w:t>
            </w:r>
            <w:proofErr w:type="spellStart"/>
            <w:r w:rsidRPr="00AE6CCA">
              <w:t>собствен</w:t>
            </w:r>
            <w:r w:rsidR="008315B6" w:rsidRPr="00AE6CCA">
              <w:t>-</w:t>
            </w:r>
            <w:r w:rsidRPr="00AE6CCA">
              <w:t>ности</w:t>
            </w:r>
            <w:proofErr w:type="spellEnd"/>
            <w:r w:rsidRPr="00AE6CCA">
              <w:t xml:space="preserve">    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jc w:val="center"/>
            </w:pPr>
            <w:proofErr w:type="gramStart"/>
            <w:r w:rsidRPr="00AE6CCA">
              <w:t>Еже-годно</w:t>
            </w:r>
            <w:proofErr w:type="gramEnd"/>
            <w:r w:rsidRPr="00AE6CCA">
              <w:t>.</w:t>
            </w:r>
          </w:p>
          <w:p w:rsidR="001674E5" w:rsidRPr="00AE6CCA" w:rsidRDefault="001674E5" w:rsidP="00A862F4">
            <w:pPr>
              <w:jc w:val="center"/>
            </w:pPr>
            <w:r w:rsidRPr="00AE6CCA">
              <w:t>2016 – 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5178B9" w:rsidP="003251B9">
            <w:pPr>
              <w:jc w:val="both"/>
            </w:pPr>
            <w:r w:rsidRPr="00AE6CCA">
              <w:t xml:space="preserve">Государственные активы Республики Татарстан на </w:t>
            </w:r>
            <w:r w:rsidR="000A1C39" w:rsidRPr="00AE6CCA">
              <w:t>01.01.2024</w:t>
            </w:r>
            <w:r w:rsidRPr="00AE6CCA">
              <w:t xml:space="preserve"> составили 552,02</w:t>
            </w:r>
            <w:r w:rsidR="000A1C39" w:rsidRPr="00AE6CCA">
              <w:t> </w:t>
            </w:r>
            <w:r w:rsidRPr="00AE6CCA">
              <w:t>млрд</w:t>
            </w:r>
            <w:r w:rsidR="000A1C39" w:rsidRPr="00AE6CCA">
              <w:t> </w:t>
            </w:r>
            <w:r w:rsidRPr="00AE6CCA">
              <w:t>рублей, в том числе стоимость имущества, находящегося в оперативном управлении государственных учреждений, – 142,25</w:t>
            </w:r>
            <w:r w:rsidR="000A1C39" w:rsidRPr="00AE6CCA">
              <w:t> </w:t>
            </w:r>
            <w:r w:rsidRPr="00AE6CCA">
              <w:t>млрд</w:t>
            </w:r>
            <w:r w:rsidR="000A1C39" w:rsidRPr="00AE6CCA">
              <w:t> </w:t>
            </w:r>
            <w:r w:rsidRPr="00AE6CCA">
              <w:t>рублей, стоимость имущества, находящегося в хозяйственном ведении государственных унитарных предприятий, – 7,15</w:t>
            </w:r>
            <w:r w:rsidR="000A1C39" w:rsidRPr="00AE6CCA">
              <w:t> </w:t>
            </w:r>
            <w:r w:rsidRPr="00AE6CCA">
              <w:t>млрд</w:t>
            </w:r>
            <w:r w:rsidR="000A1C39" w:rsidRPr="00AE6CCA">
              <w:t> </w:t>
            </w:r>
            <w:r w:rsidRPr="00AE6CCA">
              <w:t>рублей, стоимость государственного портфеля акций (долей) по номинальной стоимости – 174,13 млрд рублей, стоимость объектов казны – 72,65</w:t>
            </w:r>
            <w:r w:rsidR="000A1C39" w:rsidRPr="00AE6CCA">
              <w:t> </w:t>
            </w:r>
            <w:r w:rsidRPr="00AE6CCA">
              <w:t>млрд</w:t>
            </w:r>
            <w:r w:rsidR="000A1C39" w:rsidRPr="00AE6CCA">
              <w:t> </w:t>
            </w:r>
            <w:r w:rsidRPr="00AE6CCA">
              <w:t>рублей, кадастровая стоимость земельных участков, находящихся в собственности Республики Татарстан, – 155,84 млрд рублей.</w:t>
            </w:r>
          </w:p>
          <w:p w:rsidR="001674E5" w:rsidRPr="00AE6CCA" w:rsidRDefault="00C15A2A" w:rsidP="003251B9">
            <w:pPr>
              <w:jc w:val="both"/>
            </w:pPr>
            <w:r w:rsidRPr="00AE6CCA">
              <w:t>На 01.01.2024 в Реестре государственной собственности Республики Татарстан значится 891</w:t>
            </w:r>
            <w:r w:rsidR="000A1C39" w:rsidRPr="00AE6CCA">
              <w:t> </w:t>
            </w:r>
            <w:r w:rsidRPr="00AE6CCA">
              <w:t>юридическое лицо, в том числе 803</w:t>
            </w:r>
            <w:r w:rsidR="000A1C39" w:rsidRPr="00AE6CCA">
              <w:t> </w:t>
            </w:r>
            <w:r w:rsidRPr="00AE6CCA">
              <w:t>государственных учреждения, 10 государственных унитарных предприятий, 78</w:t>
            </w:r>
            <w:r w:rsidR="000A1C39" w:rsidRPr="00AE6CCA">
              <w:t> </w:t>
            </w:r>
            <w:r w:rsidRPr="00AE6CCA">
              <w:t>хозяйственных обществ с долей государства в уставном капитале.</w:t>
            </w:r>
          </w:p>
          <w:p w:rsidR="001674E5" w:rsidRPr="00AE6CCA" w:rsidRDefault="009C7590" w:rsidP="007829CF">
            <w:pPr>
              <w:jc w:val="both"/>
            </w:pPr>
            <w:r w:rsidRPr="00AE6CCA">
              <w:t>В собственности Республики Татарстан находится 54,</w:t>
            </w:r>
            <w:r w:rsidR="007829CF" w:rsidRPr="00AE6CCA">
              <w:t>7</w:t>
            </w:r>
            <w:r w:rsidRPr="00AE6CCA">
              <w:t xml:space="preserve"> тыс. га земель</w:t>
            </w:r>
          </w:p>
        </w:tc>
      </w:tr>
      <w:tr w:rsidR="00AE6CCA" w:rsidRPr="00AE6CCA" w:rsidTr="005233D7">
        <w:trPr>
          <w:trHeight w:val="64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pStyle w:val="af"/>
              <w:ind w:left="0"/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1674E5">
            <w:pPr>
              <w:jc w:val="center"/>
            </w:pPr>
            <w:r w:rsidRPr="00AE6CCA">
              <w:t>1.2. </w:t>
            </w:r>
            <w:proofErr w:type="spellStart"/>
            <w:proofErr w:type="gramStart"/>
            <w:r w:rsidRPr="00AE6CCA">
              <w:t>Заверше</w:t>
            </w:r>
            <w:r w:rsidR="008315B6" w:rsidRPr="00AE6CCA">
              <w:t>-</w:t>
            </w:r>
            <w:r w:rsidRPr="00AE6CCA">
              <w:t>ние</w:t>
            </w:r>
            <w:proofErr w:type="spellEnd"/>
            <w:proofErr w:type="gramEnd"/>
            <w:r w:rsidRPr="00AE6CCA">
              <w:t xml:space="preserve"> разработки и внедрения Единой </w:t>
            </w:r>
            <w:proofErr w:type="spellStart"/>
            <w:r w:rsidRPr="00AE6CCA">
              <w:t>информацион</w:t>
            </w:r>
            <w:proofErr w:type="spellEnd"/>
            <w:r w:rsidR="008315B6" w:rsidRPr="00AE6CCA">
              <w:t>-</w:t>
            </w:r>
            <w:r w:rsidRPr="00AE6CCA">
              <w:t xml:space="preserve">ной системы по учету и </w:t>
            </w:r>
            <w:r w:rsidRPr="00AE6CCA">
              <w:lastRenderedPageBreak/>
              <w:t xml:space="preserve">управлению </w:t>
            </w:r>
            <w:proofErr w:type="spellStart"/>
            <w:r w:rsidRPr="00AE6CCA">
              <w:t>государствен</w:t>
            </w:r>
            <w:r w:rsidR="008315B6" w:rsidRPr="00AE6CCA">
              <w:t>-</w:t>
            </w:r>
            <w:r w:rsidRPr="00AE6CCA">
              <w:t>ным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ным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имущест</w:t>
            </w:r>
            <w:r w:rsidR="008315B6" w:rsidRPr="00AE6CCA">
              <w:t>-</w:t>
            </w:r>
            <w:r w:rsidRPr="00AE6CCA">
              <w:t>вом</w:t>
            </w:r>
            <w:proofErr w:type="spellEnd"/>
            <w:r w:rsidRPr="00AE6CCA">
              <w:t xml:space="preserve"> Республики Татарстан (ЕИС «Имущество»), в случае выделения </w:t>
            </w:r>
            <w:proofErr w:type="spellStart"/>
            <w:r w:rsidRPr="00AE6CCA">
              <w:t>финансирова</w:t>
            </w:r>
            <w:r w:rsidR="008315B6" w:rsidRPr="00AE6CCA">
              <w:t>-</w:t>
            </w:r>
            <w:r w:rsidRPr="00AE6CCA">
              <w:t>ния</w:t>
            </w:r>
            <w:proofErr w:type="spellEnd"/>
            <w:r w:rsidRPr="00AE6CCA">
              <w:t xml:space="preserve"> из бюджета Республики Татарстан</w:t>
            </w:r>
            <w:r w:rsidR="00C718D7" w:rsidRPr="00AE6CCA">
              <w:t>.</w:t>
            </w:r>
          </w:p>
          <w:p w:rsidR="001674E5" w:rsidRPr="00AE6CCA" w:rsidRDefault="001674E5" w:rsidP="001674E5">
            <w:pPr>
              <w:jc w:val="center"/>
            </w:pPr>
            <w:r w:rsidRPr="00AE6CCA">
              <w:t xml:space="preserve">Проведение </w:t>
            </w:r>
            <w:proofErr w:type="spellStart"/>
            <w:r w:rsidRPr="00AE6CCA">
              <w:t>инвентариза</w:t>
            </w:r>
            <w:r w:rsidR="008315B6" w:rsidRPr="00AE6CCA">
              <w:t>-</w:t>
            </w:r>
            <w:r w:rsidRPr="00AE6CCA">
              <w:t>ции</w:t>
            </w:r>
            <w:proofErr w:type="spellEnd"/>
            <w:r w:rsidRPr="00AE6CCA">
              <w:t xml:space="preserve"> казны 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1674E5">
            <w:pPr>
              <w:jc w:val="center"/>
            </w:pPr>
            <w:r w:rsidRPr="00AE6CCA">
              <w:lastRenderedPageBreak/>
              <w:t xml:space="preserve">Министерство </w:t>
            </w:r>
            <w:r w:rsidR="005C795D" w:rsidRPr="00AE6CCA">
              <w:t xml:space="preserve">цифрового развития </w:t>
            </w:r>
            <w:proofErr w:type="spellStart"/>
            <w:proofErr w:type="gramStart"/>
            <w:r w:rsidR="005C795D" w:rsidRPr="00AE6CCA">
              <w:t>государствен-ного</w:t>
            </w:r>
            <w:proofErr w:type="spellEnd"/>
            <w:proofErr w:type="gramEnd"/>
            <w:r w:rsidR="005C795D" w:rsidRPr="00AE6CCA">
              <w:t xml:space="preserve"> управления, </w:t>
            </w:r>
            <w:proofErr w:type="spellStart"/>
            <w:r w:rsidR="005C795D" w:rsidRPr="00AE6CCA">
              <w:t>информаци-</w:t>
            </w:r>
            <w:r w:rsidR="005C795D" w:rsidRPr="00AE6CCA">
              <w:lastRenderedPageBreak/>
              <w:t>онных</w:t>
            </w:r>
            <w:proofErr w:type="spellEnd"/>
            <w:r w:rsidR="005C795D" w:rsidRPr="00AE6CCA">
              <w:t xml:space="preserve"> технологий и связи Республики Татарстан</w:t>
            </w:r>
            <w:r w:rsidR="00C718D7" w:rsidRPr="00AE6CCA">
              <w:t>,</w:t>
            </w:r>
          </w:p>
          <w:p w:rsidR="001674E5" w:rsidRPr="00AE6CCA" w:rsidRDefault="001674E5" w:rsidP="001674E5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7C1DA5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</w:t>
            </w:r>
            <w:r w:rsidR="00C718D7" w:rsidRPr="00AE6CCA">
              <w:t>,</w:t>
            </w:r>
          </w:p>
          <w:p w:rsidR="001674E5" w:rsidRPr="00AE6CCA" w:rsidRDefault="001674E5" w:rsidP="001674E5">
            <w:pPr>
              <w:jc w:val="center"/>
            </w:pPr>
            <w:r w:rsidRPr="00AE6CCA">
              <w:t>Министерство финансов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1674E5" w:rsidP="002652D7">
            <w:pPr>
              <w:jc w:val="center"/>
            </w:pPr>
            <w:r w:rsidRPr="00AE6CCA">
              <w:lastRenderedPageBreak/>
              <w:t>2023 год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4E5" w:rsidRPr="00AE6CCA" w:rsidRDefault="00801307" w:rsidP="007E41BC">
            <w:pPr>
              <w:jc w:val="both"/>
            </w:pPr>
            <w:r w:rsidRPr="00AE6CCA">
              <w:t xml:space="preserve">Проведены конкурсные процедуры в целях реализации первого этапа создания ЕИС «Имущество» в 2023 году. Определен победитель – АО «БАРС </w:t>
            </w:r>
            <w:proofErr w:type="spellStart"/>
            <w:r w:rsidRPr="00AE6CCA">
              <w:t>Груп</w:t>
            </w:r>
            <w:proofErr w:type="spellEnd"/>
            <w:r w:rsidRPr="00AE6CCA">
              <w:t>». В настоящее время проводятся работы по разработке системы</w:t>
            </w:r>
          </w:p>
        </w:tc>
      </w:tr>
      <w:tr w:rsidR="00AE6CCA" w:rsidRPr="00AE6CCA" w:rsidTr="005233D7">
        <w:trPr>
          <w:trHeight w:val="624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545D26">
            <w:pPr>
              <w:jc w:val="center"/>
            </w:pPr>
            <w:r w:rsidRPr="00AE6CCA">
              <w:t xml:space="preserve">2. Обеспечение доходности имущества и земельных участков, находящихся в </w:t>
            </w:r>
            <w:proofErr w:type="spellStart"/>
            <w:proofErr w:type="gramStart"/>
            <w:r w:rsidRPr="00AE6CCA">
              <w:t>государствен</w:t>
            </w:r>
            <w:proofErr w:type="spellEnd"/>
            <w:r w:rsidR="00DC13AF" w:rsidRPr="00AE6CCA">
              <w:t>-</w:t>
            </w:r>
            <w:r w:rsidRPr="00AE6CCA">
              <w:lastRenderedPageBreak/>
              <w:t>ной</w:t>
            </w:r>
            <w:proofErr w:type="gramEnd"/>
            <w:r w:rsidRPr="00AE6CCA">
              <w:t xml:space="preserve"> </w:t>
            </w:r>
            <w:proofErr w:type="spellStart"/>
            <w:r w:rsidRPr="00AE6CCA">
              <w:t>собствен</w:t>
            </w:r>
            <w:r w:rsidR="008315B6" w:rsidRPr="00AE6CCA">
              <w:t>-</w:t>
            </w:r>
            <w:r w:rsidRPr="00AE6CCA">
              <w:t>ности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распоряже</w:t>
            </w:r>
            <w:r w:rsidR="00DC13AF" w:rsidRPr="00AE6CCA">
              <w:t>-</w:t>
            </w:r>
            <w:r w:rsidRPr="00AE6CCA">
              <w:t>нии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муници</w:t>
            </w:r>
            <w:r w:rsidR="00DC13AF" w:rsidRPr="00AE6CCA">
              <w:t>-</w:t>
            </w:r>
            <w:r w:rsidRPr="00AE6CCA">
              <w:t>пальных</w:t>
            </w:r>
            <w:proofErr w:type="spellEnd"/>
            <w:r w:rsidRPr="00AE6CCA">
              <w:t xml:space="preserve"> образований Республики Татарстан</w:t>
            </w:r>
          </w:p>
          <w:p w:rsidR="00212A70" w:rsidRPr="00AE6CCA" w:rsidRDefault="00212A70" w:rsidP="00545D26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596752" w:rsidP="00C03399">
            <w:pPr>
              <w:jc w:val="center"/>
            </w:pPr>
            <w:r w:rsidRPr="00AE6CCA">
              <w:lastRenderedPageBreak/>
              <w:t xml:space="preserve">2.1. </w:t>
            </w:r>
            <w:r w:rsidR="00212A70" w:rsidRPr="00AE6CCA">
              <w:t xml:space="preserve">Выполнение бюджетного задания по доходам от использования и  реализации </w:t>
            </w:r>
            <w:proofErr w:type="spellStart"/>
            <w:r w:rsidR="00212A70" w:rsidRPr="00AE6CCA">
              <w:t>государствен</w:t>
            </w:r>
            <w:r w:rsidR="008315B6" w:rsidRPr="00AE6CCA">
              <w:t>-</w:t>
            </w:r>
            <w:r w:rsidR="00212A70" w:rsidRPr="00AE6CCA">
              <w:t>ного</w:t>
            </w:r>
            <w:proofErr w:type="spellEnd"/>
            <w:r w:rsidR="00212A70" w:rsidRPr="00AE6CCA">
              <w:t xml:space="preserve">, </w:t>
            </w:r>
            <w:proofErr w:type="spellStart"/>
            <w:r w:rsidR="00212A70" w:rsidRPr="00AE6CCA">
              <w:lastRenderedPageBreak/>
              <w:t>муниципаль</w:t>
            </w:r>
            <w:r w:rsidR="008315B6" w:rsidRPr="00AE6CCA">
              <w:t>-</w:t>
            </w:r>
            <w:r w:rsidR="00212A70" w:rsidRPr="00AE6CCA">
              <w:t>ного</w:t>
            </w:r>
            <w:proofErr w:type="spellEnd"/>
            <w:r w:rsidR="00212A70" w:rsidRPr="00AE6CCA">
              <w:t xml:space="preserve"> имущества и земельных участков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C03399">
            <w:pPr>
              <w:jc w:val="center"/>
            </w:pPr>
            <w:r w:rsidRPr="00AE6CCA">
              <w:lastRenderedPageBreak/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7C1DA5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</w:t>
            </w:r>
            <w:r w:rsidR="00D36622" w:rsidRPr="00AE6CCA">
              <w:t>,</w:t>
            </w:r>
          </w:p>
          <w:p w:rsidR="00212A70" w:rsidRPr="00AE6CCA" w:rsidRDefault="00212A70" w:rsidP="008315B6">
            <w:pPr>
              <w:jc w:val="center"/>
            </w:pPr>
            <w:r w:rsidRPr="00AE6CCA">
              <w:t xml:space="preserve">Палаты, Управления, </w:t>
            </w:r>
            <w:r w:rsidRPr="00AE6CCA">
              <w:lastRenderedPageBreak/>
              <w:t>Комитет</w:t>
            </w:r>
            <w:r w:rsidR="008315B6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</w:t>
            </w:r>
            <w:r w:rsidR="00335EA5" w:rsidRPr="00AE6CCA">
              <w:t xml:space="preserve">еспублики </w:t>
            </w:r>
            <w:r w:rsidRPr="00AE6CCA">
              <w:t>Т</w:t>
            </w:r>
            <w:r w:rsidR="00335EA5" w:rsidRPr="00AE6CCA">
              <w:t>атарстан</w:t>
            </w:r>
            <w:r w:rsidRPr="00AE6CCA">
              <w:t xml:space="preserve"> (по  </w:t>
            </w:r>
            <w:proofErr w:type="spellStart"/>
            <w:r w:rsidRPr="00AE6CCA">
              <w:t>согласова</w:t>
            </w:r>
            <w:r w:rsidR="008315B6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A862F4">
            <w:pPr>
              <w:jc w:val="center"/>
            </w:pPr>
            <w:r w:rsidRPr="00AE6CCA">
              <w:lastRenderedPageBreak/>
              <w:t>2016</w:t>
            </w:r>
            <w:r w:rsidR="00910F7A" w:rsidRPr="00AE6CCA">
              <w:t xml:space="preserve"> </w:t>
            </w:r>
            <w:r w:rsidRPr="00AE6CCA">
              <w:t>–</w:t>
            </w:r>
            <w:r w:rsidR="00910F7A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958" w:rsidRPr="00AE6CCA" w:rsidRDefault="00643D66" w:rsidP="003F5F47">
            <w:pPr>
              <w:jc w:val="both"/>
            </w:pPr>
            <w:r w:rsidRPr="00AE6CCA">
              <w:t>В 202</w:t>
            </w:r>
            <w:r w:rsidR="00312E56" w:rsidRPr="00AE6CCA">
              <w:t>3</w:t>
            </w:r>
            <w:r w:rsidRPr="00AE6CCA">
              <w:t xml:space="preserve"> году доходы бюджета Республики Татарстан от использования и реализации имущества и земельных участков, находящихся в собственности Республики Татарстан, составили </w:t>
            </w:r>
            <w:r w:rsidR="00312E56" w:rsidRPr="00AE6CCA">
              <w:t>8 108,37 </w:t>
            </w:r>
            <w:r w:rsidR="000736B7" w:rsidRPr="00AE6CCA">
              <w:t>млн</w:t>
            </w:r>
            <w:r w:rsidR="00312E56" w:rsidRPr="00AE6CCA">
              <w:t> </w:t>
            </w:r>
            <w:r w:rsidR="000736B7" w:rsidRPr="00AE6CCA">
              <w:t>рублей</w:t>
            </w:r>
            <w:r w:rsidRPr="00AE6CCA">
              <w:t xml:space="preserve">. Бюджетное задание выполнено на </w:t>
            </w:r>
            <w:r w:rsidR="000736B7" w:rsidRPr="00AE6CCA">
              <w:t>100,0</w:t>
            </w:r>
            <w:r w:rsidR="00312E56" w:rsidRPr="00AE6CCA">
              <w:t>0</w:t>
            </w:r>
            <w:r w:rsidRPr="00AE6CCA">
              <w:t>%.</w:t>
            </w:r>
          </w:p>
          <w:p w:rsidR="00643D66" w:rsidRPr="00AE6CCA" w:rsidRDefault="00643D66" w:rsidP="00643D66">
            <w:pPr>
              <w:jc w:val="both"/>
            </w:pPr>
            <w:r w:rsidRPr="00AE6CCA">
              <w:t>В</w:t>
            </w:r>
            <w:r w:rsidR="00C03399" w:rsidRPr="00AE6CCA">
              <w:t xml:space="preserve"> бюджеты муниципальных образований Республики Татарстан </w:t>
            </w:r>
            <w:r w:rsidR="00541B5B" w:rsidRPr="00AE6CCA">
              <w:t xml:space="preserve">(далее – МО РТ) </w:t>
            </w:r>
            <w:r w:rsidR="00C03399" w:rsidRPr="00AE6CCA">
              <w:t xml:space="preserve">от реализации и использования муниципального имущества и земельных участков поступило </w:t>
            </w:r>
            <w:r w:rsidR="00B63AF0" w:rsidRPr="00AE6CCA">
              <w:t>7 421,21</w:t>
            </w:r>
            <w:r w:rsidR="003C31E9" w:rsidRPr="00AE6CCA">
              <w:t> млн рублей</w:t>
            </w:r>
            <w:r w:rsidRPr="00AE6CCA">
              <w:t xml:space="preserve">, что составляет </w:t>
            </w:r>
            <w:r w:rsidR="00D02819" w:rsidRPr="00AE6CCA">
              <w:t>132,82</w:t>
            </w:r>
            <w:r w:rsidRPr="00AE6CCA">
              <w:t>%</w:t>
            </w:r>
            <w:r w:rsidR="008D6D1E" w:rsidRPr="00AE6CCA">
              <w:t xml:space="preserve"> бюджетного задания на 202</w:t>
            </w:r>
            <w:r w:rsidR="00B63AF0" w:rsidRPr="00AE6CCA">
              <w:t>3</w:t>
            </w:r>
            <w:r w:rsidR="00096FD4" w:rsidRPr="00AE6CCA">
              <w:t> </w:t>
            </w:r>
            <w:r w:rsidR="008D6D1E" w:rsidRPr="00AE6CCA">
              <w:t>год</w:t>
            </w:r>
          </w:p>
          <w:p w:rsidR="0023376B" w:rsidRPr="00AE6CCA" w:rsidRDefault="0023376B" w:rsidP="00643D66">
            <w:pPr>
              <w:jc w:val="both"/>
            </w:pPr>
          </w:p>
        </w:tc>
      </w:tr>
      <w:tr w:rsidR="00AE6CCA" w:rsidRPr="00AE6CCA" w:rsidTr="00A96473">
        <w:trPr>
          <w:trHeight w:val="888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AE6CCA" w:rsidRDefault="00AA54CA" w:rsidP="00AA54CA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AE6CCA" w:rsidRDefault="00AA54CA" w:rsidP="00AA54CA">
            <w:pPr>
              <w:jc w:val="center"/>
            </w:pPr>
            <w:r w:rsidRPr="00AE6CCA">
              <w:t xml:space="preserve">2.2. Снижение задолженности по арендным платежам за муниципальное  имущество и  земельные участки, находящиеся в распоряжении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AE6CCA" w:rsidRDefault="00AA54CA" w:rsidP="008315B6">
            <w:pPr>
              <w:jc w:val="center"/>
            </w:pPr>
            <w:r w:rsidRPr="00AE6CCA">
              <w:t>Палаты, Управления, Комитет</w:t>
            </w:r>
            <w:r w:rsidR="008315B6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РТ (по  </w:t>
            </w:r>
            <w:proofErr w:type="spellStart"/>
            <w:r w:rsidRPr="00AE6CCA">
              <w:t>согласова</w:t>
            </w:r>
            <w:r w:rsidR="008315B6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4CA" w:rsidRPr="00AE6CCA" w:rsidRDefault="00AA54CA" w:rsidP="00AA54CA">
            <w:pPr>
              <w:jc w:val="center"/>
            </w:pPr>
            <w:r w:rsidRPr="00AE6CCA">
              <w:t>2016 – 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A8F" w:rsidRPr="00AE6CCA" w:rsidRDefault="009E1A8F" w:rsidP="009E1A8F">
            <w:pPr>
              <w:jc w:val="both"/>
            </w:pPr>
            <w:r w:rsidRPr="00AE6CCA">
              <w:t>Сумма задолженности перед местными бюджетами Республики Татарстан по договорам аренды земель и муниципального имущества на 01.01.2024 составила 300,76 млн рублей, в том числе по договорам аренды имущества – 27,16 млн рублей, по договорам аренды земель – 273,60 млн рублей.</w:t>
            </w:r>
          </w:p>
          <w:p w:rsidR="009E1A8F" w:rsidRPr="00AE6CCA" w:rsidRDefault="009E1A8F" w:rsidP="009E1A8F">
            <w:pPr>
              <w:jc w:val="both"/>
            </w:pPr>
            <w:r w:rsidRPr="00AE6CCA">
              <w:t xml:space="preserve">По сравнению с началом 2023 года задолженность перед местными бюджетами </w:t>
            </w:r>
            <w:r w:rsidR="000A1C39" w:rsidRPr="00AE6CCA">
              <w:t xml:space="preserve">в целом по республике </w:t>
            </w:r>
            <w:r w:rsidRPr="00AE6CCA">
              <w:t>увеличилась на 32,54</w:t>
            </w:r>
            <w:r w:rsidR="000A1C39" w:rsidRPr="00AE6CCA">
              <w:t> </w:t>
            </w:r>
            <w:r w:rsidRPr="00AE6CCA">
              <w:t>млн</w:t>
            </w:r>
            <w:r w:rsidR="000A1C39" w:rsidRPr="00AE6CCA">
              <w:t> </w:t>
            </w:r>
            <w:r w:rsidRPr="00AE6CCA">
              <w:t>рублей (300,76</w:t>
            </w:r>
            <w:r w:rsidR="000A1C39" w:rsidRPr="00AE6CCA">
              <w:t> </w:t>
            </w:r>
            <w:r w:rsidRPr="00AE6CCA">
              <w:t>млн</w:t>
            </w:r>
            <w:r w:rsidR="000A1C39" w:rsidRPr="00AE6CCA">
              <w:t> </w:t>
            </w:r>
            <w:r w:rsidRPr="00AE6CCA">
              <w:t>рублей на 01.01.2024 и 268,22 млн рублей на 01.01.2023).</w:t>
            </w:r>
          </w:p>
          <w:p w:rsidR="009E1A8F" w:rsidRPr="00AE6CCA" w:rsidRDefault="009E1A8F" w:rsidP="009E1A8F">
            <w:pPr>
              <w:jc w:val="both"/>
            </w:pPr>
            <w:r w:rsidRPr="00AE6CCA">
              <w:t xml:space="preserve">При этом задолженность по аренде земельных участков увеличилась на 39,93 млн рублей или на 17,09% (273,60 млн рублей на 01.01.2024 и 233,66 млн рублей на 01.01.2023). Увеличение задолженности произошло в 16 МО РТ: Актанышском, Альметьевском, </w:t>
            </w:r>
            <w:proofErr w:type="spellStart"/>
            <w:r w:rsidRPr="00AE6CCA">
              <w:t>Апастовском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Бавлинском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Дрожжановском</w:t>
            </w:r>
            <w:proofErr w:type="spellEnd"/>
            <w:r w:rsidRPr="00AE6CCA">
              <w:t>, Зеленодольском, Камско-</w:t>
            </w:r>
            <w:proofErr w:type="spellStart"/>
            <w:r w:rsidRPr="00AE6CCA">
              <w:t>Устьинском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Лаишевском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Мамадышском</w:t>
            </w:r>
            <w:proofErr w:type="spellEnd"/>
            <w:r w:rsidRPr="00AE6CCA">
              <w:t xml:space="preserve">, Менделеевском, </w:t>
            </w:r>
            <w:proofErr w:type="spellStart"/>
            <w:r w:rsidRPr="00AE6CCA">
              <w:t>Муслюмовском</w:t>
            </w:r>
            <w:proofErr w:type="spellEnd"/>
            <w:r w:rsidRPr="00AE6CCA">
              <w:t xml:space="preserve">, Нижнекамском, </w:t>
            </w:r>
            <w:proofErr w:type="spellStart"/>
            <w:r w:rsidRPr="00AE6CCA">
              <w:t>Нурлатском</w:t>
            </w:r>
            <w:proofErr w:type="spellEnd"/>
            <w:r w:rsidRPr="00AE6CCA">
              <w:t xml:space="preserve">, Чистопольском, </w:t>
            </w:r>
            <w:proofErr w:type="spellStart"/>
            <w:r w:rsidRPr="00AE6CCA">
              <w:t>Ютазинском</w:t>
            </w:r>
            <w:proofErr w:type="spellEnd"/>
            <w:r w:rsidRPr="00AE6CCA">
              <w:t xml:space="preserve"> муниципальных районах, городе Казани.</w:t>
            </w:r>
          </w:p>
          <w:p w:rsidR="009E1A8F" w:rsidRPr="00AE6CCA" w:rsidRDefault="000A1C39" w:rsidP="009E1A8F">
            <w:pPr>
              <w:jc w:val="both"/>
            </w:pPr>
            <w:r w:rsidRPr="00AE6CCA">
              <w:t>В 24 МО РТ наблюдается у</w:t>
            </w:r>
            <w:r w:rsidR="009E1A8F" w:rsidRPr="00AE6CCA">
              <w:t>меньшение задолженности по аренде земель.</w:t>
            </w:r>
          </w:p>
          <w:p w:rsidR="00AA54CA" w:rsidRPr="00AE6CCA" w:rsidRDefault="009E1A8F" w:rsidP="009E1A8F">
            <w:pPr>
              <w:jc w:val="both"/>
            </w:pPr>
            <w:r w:rsidRPr="00AE6CCA">
              <w:t xml:space="preserve">Задолженность по аренде имущества в целом по республике по сравнению с началом года уменьшилась на 7,39 млн рублей или на 21,38% (27,16 млн рублей на 01.01.2024 и 34,55 млн рублей на 01.01.2023). Уменьшение задолженности наблюдается в </w:t>
            </w:r>
            <w:r w:rsidRPr="00AE6CCA">
              <w:lastRenderedPageBreak/>
              <w:t xml:space="preserve">9 МО РТ: </w:t>
            </w:r>
            <w:proofErr w:type="spellStart"/>
            <w:r w:rsidRPr="00AE6CCA">
              <w:t>Агрызском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Азнакаевском</w:t>
            </w:r>
            <w:proofErr w:type="spellEnd"/>
            <w:r w:rsidRPr="00AE6CCA">
              <w:t xml:space="preserve">, </w:t>
            </w:r>
            <w:proofErr w:type="spellStart"/>
            <w:r w:rsidRPr="00AE6CCA">
              <w:t>Бугульминском</w:t>
            </w:r>
            <w:proofErr w:type="spellEnd"/>
            <w:r w:rsidRPr="00AE6CCA">
              <w:t>, Заинском, Лениногорском, Нижнекамском, Чистопольском муниципальных районах, городах Казани и Набережные Челны</w:t>
            </w:r>
          </w:p>
        </w:tc>
      </w:tr>
      <w:tr w:rsidR="00AE6CCA" w:rsidRPr="00AE6CCA" w:rsidTr="005233D7">
        <w:trPr>
          <w:trHeight w:val="605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AF" w:rsidRPr="00AE6CCA" w:rsidRDefault="00DC13AF" w:rsidP="00D233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AE6CCA" w:rsidRDefault="00DC13AF" w:rsidP="00DC13AF">
            <w:pPr>
              <w:jc w:val="center"/>
            </w:pPr>
            <w:r w:rsidRPr="00AE6CCA">
              <w:t>2.3. </w:t>
            </w:r>
            <w:proofErr w:type="spellStart"/>
            <w:r w:rsidRPr="00AE6CCA">
              <w:t>Осущест</w:t>
            </w:r>
            <w:r w:rsidR="008315B6" w:rsidRPr="00AE6CCA">
              <w:t>-вле</w:t>
            </w:r>
            <w:r w:rsidRPr="00AE6CCA">
              <w:t>ние</w:t>
            </w:r>
            <w:proofErr w:type="spellEnd"/>
            <w:r w:rsidRPr="00AE6CCA">
              <w:t xml:space="preserve"> мониторинга доходов от использования и реализации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ного</w:t>
            </w:r>
            <w:proofErr w:type="spellEnd"/>
            <w:r w:rsidRPr="00AE6CCA">
              <w:t xml:space="preserve"> имущества (земельных участков)  и  задолженности по арендным платежам  в </w:t>
            </w:r>
            <w:proofErr w:type="spellStart"/>
            <w:r w:rsidRPr="00AE6CCA">
              <w:t>муниципаль</w:t>
            </w:r>
            <w:r w:rsidR="008315B6" w:rsidRPr="00AE6CCA">
              <w:t>-</w:t>
            </w:r>
            <w:r w:rsidRPr="00AE6CCA">
              <w:t>ные</w:t>
            </w:r>
            <w:proofErr w:type="spellEnd"/>
            <w:r w:rsidRPr="00AE6CCA">
              <w:t xml:space="preserve"> бюджеты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AE6CCA" w:rsidRDefault="00DC13AF" w:rsidP="00C03399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315B6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</w:t>
            </w:r>
          </w:p>
          <w:p w:rsidR="00DC13AF" w:rsidRPr="00AE6CCA" w:rsidRDefault="00DC13AF" w:rsidP="00C03399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AF" w:rsidRPr="00AE6CCA" w:rsidRDefault="00DC13AF" w:rsidP="00C03399">
            <w:pPr>
              <w:jc w:val="center"/>
            </w:pPr>
            <w:r w:rsidRPr="00AE6CCA">
              <w:t>2016 – 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228" w:rsidRPr="00AE6CCA" w:rsidRDefault="00C93228" w:rsidP="00C93228">
            <w:pPr>
              <w:jc w:val="both"/>
            </w:pPr>
            <w:r w:rsidRPr="00AE6CCA">
              <w:t xml:space="preserve">В 2023 году от реализации и использования муниципального имущества и земельных участков </w:t>
            </w:r>
            <w:r w:rsidR="009A75E9" w:rsidRPr="00AE6CCA">
              <w:t xml:space="preserve">в бюджеты МО РТ </w:t>
            </w:r>
            <w:r w:rsidRPr="00AE6CCA">
              <w:t>поступило 7</w:t>
            </w:r>
            <w:r w:rsidR="009A75E9" w:rsidRPr="00AE6CCA">
              <w:t> </w:t>
            </w:r>
            <w:r w:rsidRPr="00AE6CCA">
              <w:t>421,21</w:t>
            </w:r>
            <w:r w:rsidR="009A75E9" w:rsidRPr="00AE6CCA">
              <w:t> </w:t>
            </w:r>
            <w:r w:rsidRPr="00AE6CCA">
              <w:t>млн рублей, что составляет 132,82% бюджетного задания на 2023</w:t>
            </w:r>
            <w:r w:rsidR="000A1C39" w:rsidRPr="00AE6CCA">
              <w:t> </w:t>
            </w:r>
            <w:r w:rsidRPr="00AE6CCA">
              <w:t>год.</w:t>
            </w:r>
          </w:p>
          <w:p w:rsidR="00DC13AF" w:rsidRPr="00AE6CCA" w:rsidRDefault="00C93228" w:rsidP="00C93228">
            <w:pPr>
              <w:jc w:val="both"/>
            </w:pPr>
            <w:r w:rsidRPr="00AE6CCA">
              <w:t>В структуре доходов местных бюджетов за 2023 год наибольший удельный вес имеют доходы от аренды земельных участков – 2 779,28 млн рублей и их реализации – 1</w:t>
            </w:r>
            <w:r w:rsidR="003D1C91" w:rsidRPr="00AE6CCA">
              <w:t> </w:t>
            </w:r>
            <w:r w:rsidRPr="00AE6CCA">
              <w:t xml:space="preserve">704,41 млн рублей, от аренды имущества – 303,66 млн рублей, от </w:t>
            </w:r>
            <w:proofErr w:type="gramStart"/>
            <w:r w:rsidRPr="00AE6CCA">
              <w:t xml:space="preserve">продажи </w:t>
            </w:r>
            <w:r w:rsidR="003D1C91" w:rsidRPr="00AE6CCA">
              <w:t xml:space="preserve"> </w:t>
            </w:r>
            <w:r w:rsidRPr="00AE6CCA">
              <w:t>имущества</w:t>
            </w:r>
            <w:proofErr w:type="gramEnd"/>
            <w:r w:rsidRPr="00AE6CCA">
              <w:t xml:space="preserve"> – 1</w:t>
            </w:r>
            <w:r w:rsidR="003D1C91" w:rsidRPr="00AE6CCA">
              <w:t> </w:t>
            </w:r>
            <w:r w:rsidRPr="00AE6CCA">
              <w:t>336,41</w:t>
            </w:r>
            <w:r w:rsidR="003D1C91" w:rsidRPr="00AE6CCA">
              <w:t> </w:t>
            </w:r>
            <w:r w:rsidRPr="00AE6CCA">
              <w:t>млн</w:t>
            </w:r>
            <w:r w:rsidR="003D1C91" w:rsidRPr="00AE6CCA">
              <w:t> </w:t>
            </w:r>
            <w:r w:rsidRPr="00AE6CCA">
              <w:t xml:space="preserve">рублей. Кроме того, в бюджеты </w:t>
            </w:r>
            <w:r w:rsidR="009A75E9" w:rsidRPr="00AE6CCA">
              <w:t>МО РТ</w:t>
            </w:r>
            <w:r w:rsidRPr="00AE6CCA">
              <w:t xml:space="preserve"> поступила часть чистой прибыли муниципальных унитарных предприятий в размере 55,40 млн рублей, дивиденды – 31,59 млн рублей, доходы от передачи имущества в доверительное управление – 1,05 млн рублей, от сервитута – 15,68 млн рублей, прочие доходы от использования имущества в размере 1 193,72 млн рублей.</w:t>
            </w:r>
          </w:p>
          <w:p w:rsidR="001F4700" w:rsidRPr="00AE6CCA" w:rsidRDefault="00870B87" w:rsidP="001F4700">
            <w:pPr>
              <w:jc w:val="both"/>
            </w:pPr>
            <w:r w:rsidRPr="00AE6CCA">
              <w:t>По сравнению с 20</w:t>
            </w:r>
            <w:r w:rsidR="00BC214A" w:rsidRPr="00AE6CCA">
              <w:t>2</w:t>
            </w:r>
            <w:r w:rsidR="00A62614" w:rsidRPr="00AE6CCA">
              <w:t>2</w:t>
            </w:r>
            <w:r w:rsidRPr="00AE6CCA">
              <w:t xml:space="preserve"> годом объем доходов местных бюджетов от использования и реализации имущества и земель в целом по республике </w:t>
            </w:r>
            <w:r w:rsidR="001F4700" w:rsidRPr="00AE6CCA">
              <w:t>у</w:t>
            </w:r>
            <w:r w:rsidR="00BC214A" w:rsidRPr="00AE6CCA">
              <w:t>велич</w:t>
            </w:r>
            <w:r w:rsidR="001F4700" w:rsidRPr="00AE6CCA">
              <w:t xml:space="preserve">ился на </w:t>
            </w:r>
            <w:r w:rsidR="00A62614" w:rsidRPr="00AE6CCA">
              <w:t>1 777,28</w:t>
            </w:r>
            <w:r w:rsidR="000D5129" w:rsidRPr="00AE6CCA">
              <w:t> млн </w:t>
            </w:r>
            <w:r w:rsidR="001F4700" w:rsidRPr="00AE6CCA">
              <w:t xml:space="preserve">рублей или на </w:t>
            </w:r>
            <w:r w:rsidR="00A62614" w:rsidRPr="00AE6CCA">
              <w:t>31,49</w:t>
            </w:r>
            <w:r w:rsidR="001F4700" w:rsidRPr="00AE6CCA">
              <w:t>% (</w:t>
            </w:r>
            <w:r w:rsidR="00A62614" w:rsidRPr="00AE6CCA">
              <w:t>7 421,21 </w:t>
            </w:r>
            <w:r w:rsidR="001F4700" w:rsidRPr="00AE6CCA">
              <w:t>млн</w:t>
            </w:r>
            <w:r w:rsidR="000D5129" w:rsidRPr="00AE6CCA">
              <w:t> </w:t>
            </w:r>
            <w:r w:rsidR="001F4700" w:rsidRPr="00AE6CCA">
              <w:t>рублей в 202</w:t>
            </w:r>
            <w:r w:rsidR="003D1C91" w:rsidRPr="00AE6CCA">
              <w:t>3</w:t>
            </w:r>
            <w:r w:rsidR="000D5129" w:rsidRPr="00AE6CCA">
              <w:t> </w:t>
            </w:r>
            <w:r w:rsidR="001F4700" w:rsidRPr="00AE6CCA">
              <w:t xml:space="preserve">году и </w:t>
            </w:r>
            <w:r w:rsidR="00A62614" w:rsidRPr="00AE6CCA">
              <w:t>5 643,93 </w:t>
            </w:r>
            <w:r w:rsidR="001F4700" w:rsidRPr="00AE6CCA">
              <w:t>млн</w:t>
            </w:r>
            <w:r w:rsidR="00BC214A" w:rsidRPr="00AE6CCA">
              <w:t> </w:t>
            </w:r>
            <w:r w:rsidR="001F4700" w:rsidRPr="00AE6CCA">
              <w:t>рублей в 20</w:t>
            </w:r>
            <w:r w:rsidR="00BC214A" w:rsidRPr="00AE6CCA">
              <w:t>2</w:t>
            </w:r>
            <w:r w:rsidR="00A62614" w:rsidRPr="00AE6CCA">
              <w:t>2</w:t>
            </w:r>
            <w:r w:rsidR="001F4700" w:rsidRPr="00AE6CCA">
              <w:t xml:space="preserve"> году). Объем доходов у</w:t>
            </w:r>
            <w:r w:rsidR="00CF60E3" w:rsidRPr="00AE6CCA">
              <w:t xml:space="preserve">величился в </w:t>
            </w:r>
            <w:r w:rsidR="00A62614" w:rsidRPr="00AE6CCA">
              <w:t>29</w:t>
            </w:r>
            <w:r w:rsidR="001F4700" w:rsidRPr="00AE6CCA">
              <w:t xml:space="preserve"> МО РТ. При этом в </w:t>
            </w:r>
            <w:r w:rsidR="00CF60E3" w:rsidRPr="00AE6CCA">
              <w:t>1</w:t>
            </w:r>
            <w:r w:rsidR="00792B9A" w:rsidRPr="00AE6CCA">
              <w:t>6</w:t>
            </w:r>
            <w:r w:rsidR="001F4700" w:rsidRPr="00AE6CCA">
              <w:t xml:space="preserve"> МО РТ произошло у</w:t>
            </w:r>
            <w:r w:rsidR="00A62614" w:rsidRPr="00AE6CCA">
              <w:t>меньш</w:t>
            </w:r>
            <w:r w:rsidR="001F4700" w:rsidRPr="00AE6CCA">
              <w:t>ение объема доходов.</w:t>
            </w:r>
          </w:p>
          <w:p w:rsidR="00840BD7" w:rsidRPr="00AE6CCA" w:rsidRDefault="001F4700" w:rsidP="001F4700">
            <w:pPr>
              <w:jc w:val="both"/>
            </w:pPr>
            <w:r w:rsidRPr="00AE6CCA">
              <w:t>Размер задолженности перед местными бюджетами по договорам аренды имущества и земель на 01.01.202</w:t>
            </w:r>
            <w:r w:rsidR="00792B9A" w:rsidRPr="00AE6CCA">
              <w:t>4</w:t>
            </w:r>
            <w:r w:rsidRPr="00AE6CCA">
              <w:t xml:space="preserve"> составлял </w:t>
            </w:r>
            <w:r w:rsidR="00792B9A" w:rsidRPr="00AE6CCA">
              <w:t>300,76 млн рублей, в том числе по договорам аренды имущества – 27,16 млн рублей, по договорам аренды земель – 273,60 млн рублей.</w:t>
            </w:r>
          </w:p>
          <w:p w:rsidR="00870B87" w:rsidRPr="00AE6CCA" w:rsidRDefault="001F4700" w:rsidP="00840BD7">
            <w:pPr>
              <w:jc w:val="both"/>
            </w:pPr>
            <w:r w:rsidRPr="00AE6CCA">
              <w:t xml:space="preserve">Общая сумма задолженности по сравнению с началом года </w:t>
            </w:r>
            <w:r w:rsidR="00CF60E3" w:rsidRPr="00AE6CCA">
              <w:t>у</w:t>
            </w:r>
            <w:r w:rsidR="00840BD7" w:rsidRPr="00AE6CCA">
              <w:t>велич</w:t>
            </w:r>
            <w:r w:rsidR="00CF60E3" w:rsidRPr="00AE6CCA">
              <w:t xml:space="preserve">илась в целом по республике </w:t>
            </w:r>
            <w:r w:rsidR="00840BD7" w:rsidRPr="00AE6CCA">
              <w:t>на 32,54 млн рублей (300,76 млн рублей на 01.01.2024 и 268,22 млн рублей на 01.01.2023)</w:t>
            </w:r>
            <w:r w:rsidRPr="00AE6CCA">
              <w:t xml:space="preserve">, при этом </w:t>
            </w:r>
            <w:r w:rsidR="00840BD7" w:rsidRPr="00AE6CCA">
              <w:t>задолженность по аренде земельных участков увеличилась на 39,93 млн рублей или на 17,09% (273,60 млн рублей на 01.01.2024 и 233,66 млн рублей на 01.01.2023), задолженность по аренде имущества уменьшилась на 7,39 млн рублей или на 21,38% (27,16 млн рублей на 01.01.2024 и 34,55 млн рублей на 01.01.2023)</w:t>
            </w:r>
          </w:p>
        </w:tc>
      </w:tr>
      <w:tr w:rsidR="00AE6CCA" w:rsidRPr="00AE6CCA" w:rsidTr="005233D7">
        <w:trPr>
          <w:trHeight w:val="1594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167F00" w:rsidP="003F5F47">
            <w:pPr>
              <w:jc w:val="center"/>
            </w:pPr>
            <w:r w:rsidRPr="00AE6CCA">
              <w:t xml:space="preserve">2.4. </w:t>
            </w:r>
            <w:r w:rsidR="00212A70" w:rsidRPr="00AE6CCA">
              <w:t xml:space="preserve">Организация обучения руководителей и специалистов Палат, Управлений, </w:t>
            </w:r>
            <w:r w:rsidR="008315B6" w:rsidRPr="00AE6CCA">
              <w:t>Комитетов</w:t>
            </w:r>
            <w:r w:rsidR="00335EA5" w:rsidRPr="00AE6CCA">
              <w:t xml:space="preserve"> </w:t>
            </w:r>
            <w:proofErr w:type="spellStart"/>
            <w:proofErr w:type="gramStart"/>
            <w:r w:rsidR="00335EA5" w:rsidRPr="00AE6CCA">
              <w:t>имуществен</w:t>
            </w:r>
            <w:r w:rsidR="008315B6" w:rsidRPr="00AE6CCA">
              <w:t>-</w:t>
            </w:r>
            <w:r w:rsidR="00335EA5" w:rsidRPr="00AE6CCA">
              <w:t>ных</w:t>
            </w:r>
            <w:proofErr w:type="spellEnd"/>
            <w:proofErr w:type="gramEnd"/>
            <w:r w:rsidR="00212A70" w:rsidRPr="00AE6CCA">
              <w:t xml:space="preserve"> и земельных отношений </w:t>
            </w:r>
            <w:proofErr w:type="spellStart"/>
            <w:r w:rsidR="00212A70" w:rsidRPr="00AE6CCA">
              <w:t>муниципаль</w:t>
            </w:r>
            <w:r w:rsidR="008315B6" w:rsidRPr="00AE6CCA">
              <w:t>-</w:t>
            </w:r>
            <w:r w:rsidR="00212A70" w:rsidRPr="00AE6CCA">
              <w:t>ных</w:t>
            </w:r>
            <w:proofErr w:type="spellEnd"/>
            <w:r w:rsidR="00212A70" w:rsidRPr="00AE6CCA">
              <w:t xml:space="preserve"> образований </w:t>
            </w:r>
            <w:r w:rsidR="00335EA5" w:rsidRPr="00AE6CCA">
              <w:t>Республики Татарстан</w:t>
            </w:r>
          </w:p>
          <w:p w:rsidR="00212A70" w:rsidRPr="00AE6CCA" w:rsidRDefault="00212A70" w:rsidP="003F5F47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A70" w:rsidRPr="00AE6CCA" w:rsidRDefault="00212A70" w:rsidP="003F5F47">
            <w:pPr>
              <w:jc w:val="center"/>
            </w:pPr>
            <w:r w:rsidRPr="00AE6CCA">
              <w:t xml:space="preserve">Департамент </w:t>
            </w:r>
            <w:proofErr w:type="spellStart"/>
            <w:proofErr w:type="gramStart"/>
            <w:r w:rsidRPr="00AE6CCA">
              <w:t>государствен</w:t>
            </w:r>
            <w:proofErr w:type="spellEnd"/>
            <w:r w:rsidR="008315B6" w:rsidRPr="00AE6CCA">
              <w:t>-</w:t>
            </w:r>
            <w:r w:rsidRPr="00AE6CCA">
              <w:t>ной</w:t>
            </w:r>
            <w:proofErr w:type="gramEnd"/>
            <w:r w:rsidRPr="00AE6CCA">
              <w:t xml:space="preserve"> службы и кадров при </w:t>
            </w:r>
            <w:r w:rsidR="00DD3DAE" w:rsidRPr="00AE6CCA">
              <w:t>Раис</w:t>
            </w:r>
            <w:r w:rsidRPr="00AE6CCA">
              <w:t xml:space="preserve">е Республики </w:t>
            </w:r>
            <w:r w:rsidR="00335EA5" w:rsidRPr="00AE6CCA">
              <w:t>Татарстан (</w:t>
            </w:r>
            <w:r w:rsidRPr="00AE6CCA">
              <w:t xml:space="preserve">по </w:t>
            </w:r>
            <w:proofErr w:type="spellStart"/>
            <w:r w:rsidRPr="00AE6CCA">
              <w:t>согласова</w:t>
            </w:r>
            <w:r w:rsidR="008315B6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  <w:r w:rsidR="00335EA5" w:rsidRPr="00AE6CCA">
              <w:t>,</w:t>
            </w:r>
          </w:p>
          <w:p w:rsidR="00212A70" w:rsidRPr="00AE6CCA" w:rsidRDefault="00212A70" w:rsidP="003F5F47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</w:t>
            </w:r>
            <w:r w:rsidR="00335EA5" w:rsidRPr="00AE6CCA">
              <w:t>Республики Татарстан</w:t>
            </w:r>
            <w:r w:rsidRPr="00AE6CCA">
              <w:t xml:space="preserve"> (при выделении бюджетного </w:t>
            </w:r>
            <w:proofErr w:type="spellStart"/>
            <w:r w:rsidRPr="00AE6CCA">
              <w:t>финансирова</w:t>
            </w:r>
            <w:r w:rsidR="008A68DC" w:rsidRPr="00AE6CCA">
              <w:t>-</w:t>
            </w:r>
            <w:r w:rsidRPr="00AE6CCA">
              <w:t>ния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A70" w:rsidRPr="00AE6CCA" w:rsidRDefault="00212A70" w:rsidP="00A862F4">
            <w:pPr>
              <w:jc w:val="center"/>
            </w:pPr>
            <w:r w:rsidRPr="00AE6CCA">
              <w:t>2016</w:t>
            </w:r>
            <w:r w:rsidR="00910F7A" w:rsidRPr="00AE6CCA">
              <w:t xml:space="preserve"> </w:t>
            </w:r>
            <w:r w:rsidRPr="00AE6CCA">
              <w:t>–</w:t>
            </w:r>
            <w:r w:rsidR="00910F7A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BC" w:rsidRPr="00AE6CCA" w:rsidRDefault="006F37BC" w:rsidP="001A28DF">
            <w:pPr>
              <w:jc w:val="both"/>
            </w:pPr>
            <w:r w:rsidRPr="00AE6CCA">
              <w:t>С периодичностью не реже двух раз в год Министерством проводятся учебные семинары и «круглые столы» для руководителей палат (управлений, комитетов) имущественных и земельных отношений Республики Татарстан по разъяснению актуальных вопросов законодательства и практической деятельности с приглашением известных в Российской Федерации специалистов.</w:t>
            </w:r>
          </w:p>
          <w:p w:rsidR="001A28DF" w:rsidRPr="00AE6CCA" w:rsidRDefault="00AA290B" w:rsidP="001A28DF">
            <w:pPr>
              <w:jc w:val="both"/>
            </w:pPr>
            <w:r w:rsidRPr="00AE6CCA">
              <w:t xml:space="preserve">В Министерстве проводятся двухдневные стажировки для профессионального развития муниципальных служащих Республики Татарстан по программе: «Организация управления имуществом и земельными ресурсами, сдача в аренду имущества и земельных участков и прочее». В программу стажировок включаются вопросы по всем основным направлениям деятельности органов местного самоуправления в сфере земельных и имущественных отношений, в том числе учет муниципального имущества, арендные отношения, управление муниципальным имуществом и его реализация в электронной форме, повышение эффективности управления муниципальными унитарными предприятиями и акционерными обществами с долей участия муниципального образования в уставном капитале, развитие земельных отношений в муниципальном образовании, взаимодействие с оценочным сообществом и экспертиза отчетов об оценке муниципального имущества, территориальное планирование, деятельность в области кадастровых отношений. </w:t>
            </w:r>
            <w:r w:rsidR="001A28DF" w:rsidRPr="00AE6CCA">
              <w:t>С 2018 года проведено 12 стажировок, в которых приняли участие 56 муниципальных служащих Республики Татарстан.</w:t>
            </w:r>
          </w:p>
          <w:p w:rsidR="003F5F47" w:rsidRPr="00AE6CCA" w:rsidRDefault="001A28DF" w:rsidP="001A28DF">
            <w:pPr>
              <w:jc w:val="both"/>
            </w:pPr>
            <w:r w:rsidRPr="00AE6CCA">
              <w:t>В 2023 году стажировки состоялись 12 – 13 апреля и 18 – 19 октября</w:t>
            </w:r>
          </w:p>
        </w:tc>
      </w:tr>
      <w:tr w:rsidR="00AE6CCA" w:rsidRPr="00AE6CCA" w:rsidTr="000A1C39">
        <w:trPr>
          <w:trHeight w:val="56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167F00" w:rsidP="003F5F47">
            <w:pPr>
              <w:jc w:val="center"/>
            </w:pPr>
            <w:r w:rsidRPr="00AE6CCA">
              <w:t xml:space="preserve">2.5. </w:t>
            </w:r>
            <w:r w:rsidR="00212A70" w:rsidRPr="00AE6CCA">
              <w:t>Повышение квалификации оценщиков 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3F5F47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</w:t>
            </w:r>
            <w:r w:rsidR="00335EA5" w:rsidRPr="00AE6CCA">
              <w:t>Республики Татарстан</w:t>
            </w:r>
            <w:r w:rsidRPr="00AE6CCA">
              <w:t xml:space="preserve"> (при выделении </w:t>
            </w:r>
            <w:r w:rsidRPr="00AE6CCA">
              <w:lastRenderedPageBreak/>
              <w:t xml:space="preserve">бюджетного </w:t>
            </w:r>
            <w:proofErr w:type="spellStart"/>
            <w:r w:rsidRPr="00AE6CCA">
              <w:t>финансирова</w:t>
            </w:r>
            <w:r w:rsidR="008A68DC" w:rsidRPr="00AE6CCA">
              <w:t>-</w:t>
            </w:r>
            <w:r w:rsidRPr="00AE6CCA">
              <w:t>ния</w:t>
            </w:r>
            <w:proofErr w:type="spellEnd"/>
            <w:r w:rsidRPr="00AE6CCA">
              <w:t>)</w:t>
            </w:r>
            <w:r w:rsidR="00335EA5" w:rsidRPr="00AE6CCA">
              <w:t>,</w:t>
            </w:r>
          </w:p>
          <w:p w:rsidR="00212A70" w:rsidRPr="00AE6CCA" w:rsidRDefault="008A68DC" w:rsidP="003F5F47">
            <w:pPr>
              <w:jc w:val="center"/>
            </w:pPr>
            <w:proofErr w:type="spellStart"/>
            <w:r w:rsidRPr="00AE6CCA">
              <w:t>Н</w:t>
            </w:r>
            <w:r w:rsidR="000F6AAC" w:rsidRPr="00AE6CCA">
              <w:t>екоммер</w:t>
            </w:r>
            <w:r w:rsidRPr="00AE6CCA">
              <w:t>-</w:t>
            </w:r>
            <w:r w:rsidR="000F6AAC" w:rsidRPr="00AE6CCA">
              <w:t>ческое</w:t>
            </w:r>
            <w:proofErr w:type="spellEnd"/>
            <w:r w:rsidR="000F6AAC" w:rsidRPr="00AE6CCA">
              <w:t xml:space="preserve"> партнерство «Союз оценщиков Республики Татарстан» </w:t>
            </w:r>
            <w:r w:rsidR="00212A70" w:rsidRPr="00AE6CCA">
              <w:t xml:space="preserve">(по </w:t>
            </w:r>
            <w:proofErr w:type="spellStart"/>
            <w:r w:rsidR="00212A70" w:rsidRPr="00AE6CCA">
              <w:t>согласова</w:t>
            </w:r>
            <w:r w:rsidRPr="00AE6CCA">
              <w:t>-</w:t>
            </w:r>
            <w:r w:rsidR="00212A70" w:rsidRPr="00AE6CCA">
              <w:t>нию</w:t>
            </w:r>
            <w:proofErr w:type="spellEnd"/>
            <w:r w:rsidR="00212A70"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A862F4">
            <w:pPr>
              <w:jc w:val="center"/>
            </w:pPr>
            <w:r w:rsidRPr="00AE6CCA">
              <w:lastRenderedPageBreak/>
              <w:t>2016</w:t>
            </w:r>
            <w:r w:rsidR="00D36622" w:rsidRPr="00AE6CCA">
              <w:t xml:space="preserve"> </w:t>
            </w:r>
            <w:r w:rsidRPr="00AE6CCA">
              <w:t>–</w:t>
            </w:r>
            <w:r w:rsidR="00D36622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525" w:rsidRPr="00AE6CCA" w:rsidRDefault="00536525" w:rsidP="00536525">
            <w:pPr>
              <w:jc w:val="both"/>
              <w:rPr>
                <w:sz w:val="22"/>
                <w:szCs w:val="22"/>
              </w:rPr>
            </w:pPr>
            <w:r w:rsidRPr="00AE6CCA">
              <w:t>В 2023 году некоммерческим партнерством «Союз оценщиков Республики Татарстан» (далее – Союз оценщиков РТ) проведено 4 семинара по актуальным вопросам оценочной деятельности, в том числе с участием сотрудников Министерства, палат (управлений, комитетов) земельных и имущественных отношений Республики Татарстан.</w:t>
            </w:r>
          </w:p>
          <w:p w:rsidR="00536525" w:rsidRPr="00AE6CCA" w:rsidRDefault="00536525" w:rsidP="00536525">
            <w:pPr>
              <w:jc w:val="both"/>
            </w:pPr>
            <w:r w:rsidRPr="00AE6CCA">
              <w:t>В адрес палат (управлений, комитетов) земельных и имущественных отношений Республики Татарстан направлено 3 разъяснительных письма о новациях законодательства в области оценочной деятельности.</w:t>
            </w:r>
          </w:p>
          <w:p w:rsidR="00536525" w:rsidRPr="00AE6CCA" w:rsidRDefault="00536525" w:rsidP="00536525">
            <w:pPr>
              <w:jc w:val="both"/>
            </w:pPr>
            <w:r w:rsidRPr="00AE6CCA">
              <w:lastRenderedPageBreak/>
              <w:t>Сотрудники Союза оценщиков РТ приняли участие в 3 стажировках муниципальных служащих Республики Татарстан, проведенных Министерством, в целях обучения муниципальных служащих последующей работе с оценщиками в муниципальных районах.</w:t>
            </w:r>
          </w:p>
          <w:p w:rsidR="00536525" w:rsidRPr="00AE6CCA" w:rsidRDefault="00536525" w:rsidP="00536525">
            <w:pPr>
              <w:jc w:val="both"/>
            </w:pPr>
            <w:r w:rsidRPr="00AE6CCA">
              <w:t>Направлено 330 профессиональных (экспертных) мнений о качестве отчетов об оценке по запросам органов власти в целях повышения квалификации оценщиков.</w:t>
            </w:r>
          </w:p>
          <w:p w:rsidR="00536525" w:rsidRPr="00AE6CCA" w:rsidRDefault="00536525" w:rsidP="00536525">
            <w:pPr>
              <w:jc w:val="both"/>
            </w:pPr>
            <w:r w:rsidRPr="00AE6CCA">
              <w:t>Сотрудники Союза оценщиков РТ продолжают участвовать в организации квалификационного экзамена для оценщиков на базе вузов- партнеров – КФУ, КИУ-ИЭУ.</w:t>
            </w:r>
          </w:p>
          <w:p w:rsidR="0023376B" w:rsidRPr="00AE6CCA" w:rsidRDefault="00536525" w:rsidP="00536525">
            <w:pPr>
              <w:jc w:val="both"/>
            </w:pPr>
            <w:r w:rsidRPr="00AE6CCA">
              <w:t>Организовано постоянное обучение и повышение квалификации оценщиков в вузах-партнерах – КИУ-ИЭУП, КГАСУ, ТИСБИ (дистанционно), КФУ (бакалавриат)</w:t>
            </w:r>
          </w:p>
        </w:tc>
      </w:tr>
      <w:tr w:rsidR="00AE6CCA" w:rsidRPr="00AE6CCA" w:rsidTr="000A1C39">
        <w:trPr>
          <w:trHeight w:val="288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167F00" w:rsidP="001F3AA2">
            <w:pPr>
              <w:jc w:val="center"/>
            </w:pPr>
            <w:r w:rsidRPr="00AE6CCA">
              <w:t xml:space="preserve">2.6. </w:t>
            </w:r>
            <w:r w:rsidR="00212A70" w:rsidRPr="00AE6CCA">
              <w:t>Подготовка методических материалов для специалистов Палат, Управлений, Комитет</w:t>
            </w:r>
            <w:r w:rsidR="001F3AA2" w:rsidRPr="00AE6CCA">
              <w:t>ов</w:t>
            </w:r>
            <w:r w:rsidR="00212A70" w:rsidRPr="00AE6CCA">
              <w:t xml:space="preserve">  </w:t>
            </w:r>
            <w:proofErr w:type="spellStart"/>
            <w:r w:rsidR="00212A70" w:rsidRPr="00AE6CCA">
              <w:t>имуществен</w:t>
            </w:r>
            <w:r w:rsidR="001F3AA2" w:rsidRPr="00AE6CCA">
              <w:t>-</w:t>
            </w:r>
            <w:r w:rsidR="00212A70" w:rsidRPr="00AE6CCA">
              <w:t>ных</w:t>
            </w:r>
            <w:proofErr w:type="spellEnd"/>
            <w:r w:rsidR="00212A70" w:rsidRPr="00AE6CCA">
              <w:t xml:space="preserve"> и земельных отношений </w:t>
            </w:r>
            <w:proofErr w:type="spellStart"/>
            <w:r w:rsidR="00212A70" w:rsidRPr="00AE6CCA">
              <w:t>муниципаль</w:t>
            </w:r>
            <w:r w:rsidR="001F3AA2" w:rsidRPr="00AE6CCA">
              <w:t>-</w:t>
            </w:r>
            <w:r w:rsidR="00212A70" w:rsidRPr="00AE6CCA">
              <w:t>ных</w:t>
            </w:r>
            <w:proofErr w:type="spellEnd"/>
            <w:r w:rsidR="00212A70" w:rsidRPr="00AE6CCA">
              <w:t xml:space="preserve"> образований </w:t>
            </w:r>
            <w:r w:rsidR="00C81AE0" w:rsidRPr="00AE6CCA">
              <w:t>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A862F4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</w:t>
            </w:r>
            <w:r w:rsidR="00335EA5" w:rsidRPr="00AE6CCA">
              <w:t>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0F6AAC" w:rsidP="00A862F4">
            <w:pPr>
              <w:jc w:val="center"/>
            </w:pPr>
            <w:r w:rsidRPr="00AE6CCA">
              <w:t>2016 – 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532" w:rsidRPr="00AE6CCA" w:rsidRDefault="003D2532" w:rsidP="003D2532">
            <w:pPr>
              <w:jc w:val="both"/>
            </w:pPr>
            <w:r w:rsidRPr="00AE6CCA">
              <w:t xml:space="preserve">В целях повышения эффективности деятельности </w:t>
            </w:r>
            <w:r w:rsidR="00536525" w:rsidRPr="00AE6CCA">
              <w:t>МО РТ</w:t>
            </w:r>
            <w:r w:rsidRPr="00AE6CCA">
              <w:t xml:space="preserve"> Министерство оказывает систематическую практическую и методическую помощь органам местного самоуправления по вопросам, относящимся к сфере земельных и имущественных отношений. </w:t>
            </w:r>
          </w:p>
          <w:p w:rsidR="000F6AAC" w:rsidRPr="00AE6CCA" w:rsidRDefault="004E29A0" w:rsidP="001C6D94">
            <w:pPr>
              <w:jc w:val="both"/>
            </w:pPr>
            <w:r w:rsidRPr="00AE6CCA">
              <w:t>Н</w:t>
            </w:r>
            <w:r w:rsidR="000F6AAC" w:rsidRPr="00AE6CCA">
              <w:t xml:space="preserve">екоммерческим партнерством «Союз оценщиков Республики Татарстан» </w:t>
            </w:r>
            <w:r w:rsidR="00DC7764" w:rsidRPr="00AE6CCA">
              <w:t>при содействии</w:t>
            </w:r>
            <w:r w:rsidR="000F6AAC" w:rsidRPr="00AE6CCA">
              <w:t xml:space="preserve"> </w:t>
            </w:r>
            <w:r w:rsidR="000103E2" w:rsidRPr="00AE6CCA">
              <w:t>Министерства</w:t>
            </w:r>
            <w:r w:rsidR="000F6AAC" w:rsidRPr="00AE6CCA">
              <w:t xml:space="preserve"> дважды в год проводится мониторинг рынка и выпускается сборник «Мониторинг недвижимости, земельных участков и арендных ставок», который служит ориентиром для администраций </w:t>
            </w:r>
            <w:r w:rsidR="00F34780" w:rsidRPr="00AE6CCA">
              <w:t>МО РТ</w:t>
            </w:r>
            <w:r w:rsidR="000F6AAC" w:rsidRPr="00AE6CCA">
              <w:t xml:space="preserve"> и оценщиков по диапазонам цен при проведении сделок с государственным и муниципальным имуществом</w:t>
            </w:r>
            <w:r w:rsidR="00D8206B" w:rsidRPr="00AE6CCA">
              <w:t>.</w:t>
            </w:r>
          </w:p>
          <w:p w:rsidR="00D8206B" w:rsidRPr="00AE6CCA" w:rsidRDefault="00551653" w:rsidP="002C7B26">
            <w:pPr>
              <w:jc w:val="both"/>
            </w:pPr>
            <w:r w:rsidRPr="00AE6CCA">
              <w:t xml:space="preserve">В рамках работы по сокращению задолженности перед бюджетами МО РТ по арендным платежам Министерство принимает участие в еженедельных совещаниях в режиме видеоконференцсвязи, проводимых Министерством финансов Республики Татарстан, с участием представителей Управления Федеральной налоговой службы по Республике Татарстан, Управления Федеральной службы судебных приставов по Республике Татарстан, палат (управлений, комитетов) имущественных и земельных отношений Республики Татарстан. В ходе совещаний рассматриваются вопросы проведения МО РТ мероприятий по сокращению задолженности перед местными </w:t>
            </w:r>
            <w:r w:rsidRPr="00AE6CCA">
              <w:lastRenderedPageBreak/>
              <w:t>бюджетами Республики Татарстан по арендной плате за имущество и земельные участки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AE6CCA" w:rsidRDefault="000F5AEE" w:rsidP="000F5AEE">
            <w:pPr>
              <w:jc w:val="center"/>
            </w:pPr>
            <w:r w:rsidRPr="00AE6CCA">
              <w:lastRenderedPageBreak/>
              <w:t>3.Увеличение поступлений земельного налога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AE6CCA" w:rsidRDefault="000F5AEE" w:rsidP="000F5AEE">
            <w:pPr>
              <w:jc w:val="center"/>
            </w:pPr>
            <w:r w:rsidRPr="00AE6CCA">
              <w:t xml:space="preserve">Проведение инвентаризации земельных участков, являющихся потенциальным объектом  </w:t>
            </w:r>
            <w:proofErr w:type="spellStart"/>
            <w:r w:rsidRPr="00AE6CCA">
              <w:t>налогообложе</w:t>
            </w:r>
            <w:r w:rsidR="001F3AA2" w:rsidRPr="00AE6CCA">
              <w:t>-</w:t>
            </w:r>
            <w:r w:rsidRPr="00AE6CCA">
              <w:t>ния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AE6CCA" w:rsidRDefault="000F5AEE" w:rsidP="000F5AEE">
            <w:pPr>
              <w:jc w:val="center"/>
            </w:pPr>
            <w:proofErr w:type="spellStart"/>
            <w:proofErr w:type="gramStart"/>
            <w:r w:rsidRPr="00AE6CCA">
              <w:t>Администра</w:t>
            </w:r>
            <w:r w:rsidR="008A68DC" w:rsidRPr="00AE6CCA">
              <w:t>-</w:t>
            </w:r>
            <w:r w:rsidRPr="00AE6CCA">
              <w:t>ции</w:t>
            </w:r>
            <w:proofErr w:type="spellEnd"/>
            <w:proofErr w:type="gramEnd"/>
            <w:r w:rsidRPr="00AE6CCA">
              <w:t xml:space="preserve">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  <w:r w:rsidR="002F50ED" w:rsidRPr="00AE6CCA">
              <w:t>,</w:t>
            </w:r>
          </w:p>
          <w:p w:rsidR="000F5AEE" w:rsidRPr="00AE6CCA" w:rsidRDefault="000F5AEE" w:rsidP="008A68DC">
            <w:pPr>
              <w:jc w:val="center"/>
            </w:pPr>
            <w:r w:rsidRPr="00AE6CCA"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AEE" w:rsidRPr="00AE6CCA" w:rsidRDefault="000F5AEE" w:rsidP="000F5AEE">
            <w:pPr>
              <w:jc w:val="center"/>
            </w:pPr>
            <w:r w:rsidRPr="00AE6CCA">
              <w:t>2016 – 2023 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CDD" w:rsidRPr="00AE6CCA" w:rsidRDefault="000C5CDD" w:rsidP="000C5CDD">
            <w:pPr>
              <w:jc w:val="both"/>
            </w:pPr>
            <w:r w:rsidRPr="00AE6CCA">
              <w:t>Федеральным законом от 30 декабря 2020 года №</w:t>
            </w:r>
            <w:r w:rsidR="009E646F">
              <w:t> </w:t>
            </w:r>
            <w:r w:rsidRPr="00AE6CCA">
              <w:t>518-ФЗ «О внесении изменений в отдельные законодательные акты Российской Федерации» (далее – Закон № 518-ФЗ) органы местного самоуправления наделены полномочиями и обязанностями по проведению на территории поселения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ЕГРН.</w:t>
            </w:r>
          </w:p>
          <w:p w:rsidR="000C5CDD" w:rsidRPr="00AE6CCA" w:rsidRDefault="000C5CDD" w:rsidP="000C5CDD">
            <w:pPr>
              <w:jc w:val="both"/>
            </w:pPr>
            <w:r w:rsidRPr="00AE6CCA">
              <w:t xml:space="preserve">По оценке Управления </w:t>
            </w:r>
            <w:proofErr w:type="spellStart"/>
            <w:r w:rsidRPr="00AE6CCA">
              <w:t>Росреестра</w:t>
            </w:r>
            <w:proofErr w:type="spellEnd"/>
            <w:r w:rsidRPr="00AE6CCA">
              <w:t xml:space="preserve"> по Республике Татарстан, на территории Республики Татарстан насчитывается более 847 тысяч объектов недвижимости, не имеющих правообладателей, из которых около 700 тысяч объектов недвижимости потенциально подпадают под действие Закона № 518-ФЗ (справочно: действие закона распространяется на объекты недвижимости, если правоустанавливающие документы на объект недвижимости или документы, удостоверяющие права на данный объект недвижимости, были оформлены до дня вступления в силу Федерального закона от 21</w:t>
            </w:r>
            <w:r w:rsidR="00551653" w:rsidRPr="00AE6CCA">
              <w:t> </w:t>
            </w:r>
            <w:r w:rsidRPr="00AE6CCA">
              <w:t>июля 1997</w:t>
            </w:r>
            <w:r w:rsidR="00551653" w:rsidRPr="00AE6CCA">
              <w:t> </w:t>
            </w:r>
            <w:r w:rsidRPr="00AE6CCA">
              <w:t>года №</w:t>
            </w:r>
            <w:r w:rsidR="00551653" w:rsidRPr="00AE6CCA">
              <w:t> </w:t>
            </w:r>
            <w:r w:rsidRPr="00AE6CCA">
              <w:t>122-ФЗ «О государственной регистрации прав на недвижимое имущество и сделок с ним» (до 31 января 1998 года) и указанные права не были зарегистрированы в ЕГРН).</w:t>
            </w:r>
          </w:p>
          <w:p w:rsidR="000C5CDD" w:rsidRPr="00AE6CCA" w:rsidRDefault="000C5CDD" w:rsidP="000C5CDD">
            <w:pPr>
              <w:jc w:val="both"/>
            </w:pPr>
            <w:r w:rsidRPr="00AE6CCA">
              <w:t>Для реализации положений Закона №</w:t>
            </w:r>
            <w:r w:rsidR="00551653" w:rsidRPr="00AE6CCA">
              <w:t> </w:t>
            </w:r>
            <w:r w:rsidRPr="00AE6CCA">
              <w:t xml:space="preserve">518-ФЗ Премьер-министром Республики Татарстан </w:t>
            </w:r>
            <w:proofErr w:type="spellStart"/>
            <w:r w:rsidRPr="00AE6CCA">
              <w:t>А.В.Песошиным</w:t>
            </w:r>
            <w:proofErr w:type="spellEnd"/>
            <w:r w:rsidRPr="00AE6CCA">
              <w:t xml:space="preserve"> и руководителем Управления </w:t>
            </w:r>
            <w:proofErr w:type="spellStart"/>
            <w:r w:rsidRPr="00AE6CCA">
              <w:t>Росреестра</w:t>
            </w:r>
            <w:proofErr w:type="spellEnd"/>
            <w:r w:rsidRPr="00AE6CCA">
              <w:t xml:space="preserve"> по Республике Татарстан </w:t>
            </w:r>
            <w:proofErr w:type="spellStart"/>
            <w:r w:rsidRPr="00AE6CCA">
              <w:t>А.Г.Зяббаровым</w:t>
            </w:r>
            <w:proofErr w:type="spellEnd"/>
            <w:r w:rsidRPr="00AE6CCA">
              <w:t xml:space="preserve"> утвержден региональный план основных мероприятий по реализации Закона № 518-ФЗ.</w:t>
            </w:r>
          </w:p>
          <w:p w:rsidR="000C5CDD" w:rsidRPr="00AE6CCA" w:rsidRDefault="000C5CDD" w:rsidP="000C5CDD">
            <w:pPr>
              <w:jc w:val="both"/>
            </w:pPr>
            <w:r w:rsidRPr="00AE6CCA">
              <w:t>За период 01.03.2022 – 03.01.2024 в рамках Закона № 518-ФЗ по 135 629 объектам в ЕГРН внесены сведения о правообладателях на основании решений органов местного самоуправления, по 231 076 объектам осуществлена регистрация ранее возникшего права и проведены иные мероприятия (исключение дублирующих и родительских объектов), снято с кадастрового учета 277 670 объектов.</w:t>
            </w:r>
          </w:p>
          <w:p w:rsidR="000C5CDD" w:rsidRPr="00AE6CCA" w:rsidRDefault="000C5CDD" w:rsidP="000C5CDD">
            <w:pPr>
              <w:jc w:val="both"/>
            </w:pPr>
            <w:r w:rsidRPr="00AE6CCA">
              <w:t>В рамках реализации данных мероприятий муниципальные образования направляют запросы через региональную систему межведомственного электронного взаимодействия в МВД, Пенсионный фонд, ЗАГС и в налоговую службу.</w:t>
            </w:r>
          </w:p>
          <w:p w:rsidR="000C5CDD" w:rsidRPr="00AE6CCA" w:rsidRDefault="000C5CDD" w:rsidP="000C5CDD">
            <w:pPr>
              <w:jc w:val="both"/>
            </w:pPr>
            <w:r w:rsidRPr="00AE6CCA">
              <w:lastRenderedPageBreak/>
              <w:t>В целях обеспечения реализации Закона №</w:t>
            </w:r>
            <w:r w:rsidR="009E646F">
              <w:t> </w:t>
            </w:r>
            <w:r w:rsidRPr="00AE6CCA">
              <w:t xml:space="preserve">518-ФЗ Министерством совместно с Управлением </w:t>
            </w:r>
            <w:proofErr w:type="spellStart"/>
            <w:r w:rsidRPr="00AE6CCA">
              <w:t>Росреестра</w:t>
            </w:r>
            <w:proofErr w:type="spellEnd"/>
            <w:r w:rsidRPr="00AE6CCA">
              <w:t xml:space="preserve"> по Республике Татарстан принимаются меры по оказанию органам местного самоуправления методической, организационной и практической помощи. В каждом муниципальном образовании определены ответственные лица от Управления </w:t>
            </w:r>
            <w:proofErr w:type="spellStart"/>
            <w:r w:rsidRPr="00AE6CCA">
              <w:t>Росреестра</w:t>
            </w:r>
            <w:proofErr w:type="spellEnd"/>
            <w:r w:rsidRPr="00AE6CCA">
              <w:t xml:space="preserve"> по Республике Татарстан для оказания помощи на постоянной основе. В еженедельном режиме проводятся совещания с участием представителей муниципалитетов. Отдельно прорабатывается проблематика каждого муниципального образования. </w:t>
            </w:r>
          </w:p>
          <w:p w:rsidR="000F5AEE" w:rsidRPr="00AE6CCA" w:rsidRDefault="000C5CDD" w:rsidP="000C5CDD">
            <w:pPr>
              <w:jc w:val="both"/>
              <w:rPr>
                <w:highlight w:val="yellow"/>
              </w:rPr>
            </w:pPr>
            <w:r w:rsidRPr="00AE6CCA">
              <w:t>В настоящее время органы местного самоуправления проводят мероприятия, предусмотренные законом, в целях обеспечения регистрации прав на такие объекты. Работа органов местного самоуправления оценивается по количеству зарегистрированных в ЕГРН прав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BC1608">
            <w:pPr>
              <w:jc w:val="center"/>
            </w:pPr>
            <w:r w:rsidRPr="00AE6CCA">
              <w:lastRenderedPageBreak/>
              <w:t xml:space="preserve">4. Повышение </w:t>
            </w:r>
            <w:proofErr w:type="spellStart"/>
            <w:r w:rsidRPr="00AE6CCA">
              <w:t>эффектив</w:t>
            </w:r>
            <w:r w:rsidR="00A45385" w:rsidRPr="00AE6CCA">
              <w:t>-</w:t>
            </w:r>
            <w:r w:rsidRPr="00AE6CCA">
              <w:t>ности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использова</w:t>
            </w:r>
            <w:r w:rsidR="00A45385" w:rsidRPr="00AE6CCA">
              <w:t>-</w:t>
            </w:r>
            <w:r w:rsidRPr="00AE6CCA">
              <w:t>ния</w:t>
            </w:r>
            <w:proofErr w:type="spellEnd"/>
            <w:r w:rsidRPr="00AE6CCA">
              <w:t xml:space="preserve"> земель </w:t>
            </w:r>
            <w:proofErr w:type="spellStart"/>
            <w:r w:rsidRPr="00AE6CCA">
              <w:t>сельскохозяй</w:t>
            </w:r>
            <w:r w:rsidR="001C6D94" w:rsidRPr="00AE6CCA">
              <w:t>-</w:t>
            </w:r>
            <w:r w:rsidRPr="00AE6CCA">
              <w:t>ственного</w:t>
            </w:r>
            <w:proofErr w:type="spellEnd"/>
            <w:r w:rsidRPr="00AE6CCA">
              <w:t xml:space="preserve"> назначения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167F00" w:rsidP="001F3AA2">
            <w:pPr>
              <w:jc w:val="center"/>
            </w:pPr>
            <w:r w:rsidRPr="00AE6CCA">
              <w:t xml:space="preserve">4.1. </w:t>
            </w:r>
            <w:r w:rsidR="00212A70" w:rsidRPr="00AE6CCA">
              <w:t xml:space="preserve">Осуществление мероприятий по понуждению к использованию по назначению земельных участков </w:t>
            </w:r>
            <w:proofErr w:type="spellStart"/>
            <w:r w:rsidR="00212A70" w:rsidRPr="00AE6CCA">
              <w:t>сель</w:t>
            </w:r>
            <w:r w:rsidR="00335EA5" w:rsidRPr="00AE6CCA">
              <w:t>ско</w:t>
            </w:r>
            <w:r w:rsidR="00212A70" w:rsidRPr="00AE6CCA">
              <w:t>хоз</w:t>
            </w:r>
            <w:r w:rsidR="00335EA5" w:rsidRPr="00AE6CCA">
              <w:t>яй</w:t>
            </w:r>
            <w:r w:rsidR="001F3AA2" w:rsidRPr="00AE6CCA">
              <w:t>-</w:t>
            </w:r>
            <w:r w:rsidR="00335EA5" w:rsidRPr="00AE6CCA">
              <w:t>ственного</w:t>
            </w:r>
            <w:proofErr w:type="spellEnd"/>
            <w:r w:rsidR="00335EA5" w:rsidRPr="00AE6CCA">
              <w:t xml:space="preserve"> </w:t>
            </w:r>
            <w:r w:rsidR="00212A70" w:rsidRPr="00AE6CCA">
              <w:t xml:space="preserve">назначения либо их изъятию в случае неисполнения требований к использованию </w:t>
            </w:r>
            <w:r w:rsidR="00212A70" w:rsidRPr="00AE6CCA">
              <w:lastRenderedPageBreak/>
              <w:t>по назначению таких  участков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BC1608">
            <w:pPr>
              <w:jc w:val="center"/>
            </w:pPr>
            <w:r w:rsidRPr="00AE6CCA">
              <w:lastRenderedPageBreak/>
              <w:t xml:space="preserve">Управление Федеральной службы по </w:t>
            </w:r>
            <w:proofErr w:type="gramStart"/>
            <w:r w:rsidRPr="00AE6CCA">
              <w:t>ветеринар</w:t>
            </w:r>
            <w:r w:rsidR="008A68DC" w:rsidRPr="00AE6CCA">
              <w:t>-</w:t>
            </w:r>
            <w:r w:rsidRPr="00AE6CCA">
              <w:t>ному</w:t>
            </w:r>
            <w:proofErr w:type="gramEnd"/>
            <w:r w:rsidRPr="00AE6CCA">
              <w:t xml:space="preserve"> и </w:t>
            </w:r>
            <w:proofErr w:type="spellStart"/>
            <w:r w:rsidRPr="00AE6CCA">
              <w:t>фитосанитар</w:t>
            </w:r>
            <w:proofErr w:type="spellEnd"/>
            <w:r w:rsidR="008A68DC" w:rsidRPr="00AE6CCA">
              <w:t>-</w:t>
            </w:r>
            <w:r w:rsidRPr="00AE6CCA">
              <w:t xml:space="preserve">ному надзору по Республике Татарстан (по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  <w:r w:rsidR="00335EA5" w:rsidRPr="00AE6CCA">
              <w:t>,</w:t>
            </w:r>
          </w:p>
          <w:p w:rsidR="00212A70" w:rsidRPr="00AE6CCA" w:rsidRDefault="00212A70" w:rsidP="00BC1608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</w:t>
            </w:r>
            <w:r w:rsidRPr="00AE6CCA">
              <w:lastRenderedPageBreak/>
              <w:t>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0103E2">
            <w:pPr>
              <w:jc w:val="center"/>
            </w:pPr>
            <w:r w:rsidRPr="00AE6CCA">
              <w:lastRenderedPageBreak/>
              <w:t>2016</w:t>
            </w:r>
            <w:r w:rsidR="000F5AEE" w:rsidRPr="00AE6CCA">
              <w:t> </w:t>
            </w:r>
            <w:r w:rsidRPr="00AE6CCA">
              <w:t>–2030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802AF4" w:rsidP="004A7CCF">
            <w:pPr>
              <w:jc w:val="both"/>
            </w:pPr>
            <w:r w:rsidRPr="00AE6CCA">
              <w:t>Согласно данным Управления Федеральной службы по ветеринарному и фитосанитарному надзору по Республике Татарстан, на 01.11.2023 в Республике Татарстан выявлено 76,36</w:t>
            </w:r>
            <w:r w:rsidR="00FD7B0C" w:rsidRPr="00AE6CCA">
              <w:t> </w:t>
            </w:r>
            <w:r w:rsidRPr="00AE6CCA">
              <w:t>тыс.</w:t>
            </w:r>
            <w:r w:rsidR="00FD7B0C" w:rsidRPr="00AE6CCA">
              <w:t> </w:t>
            </w:r>
            <w:r w:rsidRPr="00AE6CCA">
              <w:t>га неиспользуемых земель сельскохозяйственного назначения, из них вовлечено в сельскохозяйственный оборот 22,01</w:t>
            </w:r>
            <w:r w:rsidR="00FD7B0C" w:rsidRPr="00AE6CCA">
              <w:t> </w:t>
            </w:r>
            <w:r w:rsidRPr="00AE6CCA">
              <w:t>тыс.</w:t>
            </w:r>
            <w:r w:rsidR="00FD7B0C" w:rsidRPr="00AE6CCA">
              <w:t> </w:t>
            </w:r>
            <w:r w:rsidRPr="00AE6CCA">
              <w:t>га</w:t>
            </w:r>
            <w:r w:rsidR="005263EC" w:rsidRPr="00AE6CCA">
              <w:t>.</w:t>
            </w:r>
          </w:p>
          <w:p w:rsidR="00212A70" w:rsidRPr="00AE6CCA" w:rsidRDefault="00B57BB6" w:rsidP="004A7CCF">
            <w:pPr>
              <w:jc w:val="both"/>
            </w:pPr>
            <w:r w:rsidRPr="00AE6CCA">
              <w:t>В целом в отношении земельных участков сельскохозяйственного назначения, не</w:t>
            </w:r>
            <w:r w:rsidR="00F83295" w:rsidRPr="00AE6CCA">
              <w:t xml:space="preserve"> </w:t>
            </w:r>
            <w:r w:rsidRPr="00AE6CCA">
              <w:t xml:space="preserve">используемых по целевому назначению, </w:t>
            </w:r>
            <w:r w:rsidR="000103E2" w:rsidRPr="00AE6CCA">
              <w:t>Министерство</w:t>
            </w:r>
            <w:r w:rsidRPr="00AE6CCA">
              <w:t xml:space="preserve"> проводит судебную работу по изъятию таких участков на основании материалов, поступивших из Управления Федеральной службы по ветеринарному и фитосанитарному надзору по Республике Татарстан и Управления Федеральной службы государственной регистрации, кадастра и картографии  по Республике Татарстан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A70" w:rsidRPr="00AE6CCA" w:rsidRDefault="00212A70" w:rsidP="00D233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167F00" w:rsidP="00DD3DAE">
            <w:pPr>
              <w:jc w:val="center"/>
            </w:pPr>
            <w:r w:rsidRPr="00AE6CCA">
              <w:t xml:space="preserve">4.2. </w:t>
            </w:r>
            <w:r w:rsidR="00212A70" w:rsidRPr="00AE6CCA">
              <w:t xml:space="preserve">Завершение оформления прав собственности на </w:t>
            </w:r>
            <w:proofErr w:type="spellStart"/>
            <w:r w:rsidR="00212A70" w:rsidRPr="00AE6CCA">
              <w:t>невостребован</w:t>
            </w:r>
            <w:r w:rsidR="001F3AA2" w:rsidRPr="00AE6CCA">
              <w:t>-</w:t>
            </w:r>
            <w:r w:rsidR="00212A70" w:rsidRPr="00AE6CCA">
              <w:t>ные</w:t>
            </w:r>
            <w:proofErr w:type="spellEnd"/>
            <w:r w:rsidR="00212A70" w:rsidRPr="00AE6CCA">
              <w:t xml:space="preserve"> земельные доли </w:t>
            </w:r>
            <w:proofErr w:type="spellStart"/>
            <w:r w:rsidR="00212A70" w:rsidRPr="00AE6CCA">
              <w:t>сель</w:t>
            </w:r>
            <w:r w:rsidR="00335EA5" w:rsidRPr="00AE6CCA">
              <w:t>ско</w:t>
            </w:r>
            <w:r w:rsidR="00212A70" w:rsidRPr="00AE6CCA">
              <w:t>хоз</w:t>
            </w:r>
            <w:r w:rsidR="00335EA5" w:rsidRPr="00AE6CCA">
              <w:t>яй</w:t>
            </w:r>
            <w:r w:rsidR="00DD3DAE" w:rsidRPr="00AE6CCA">
              <w:t>-</w:t>
            </w:r>
            <w:r w:rsidR="00335EA5" w:rsidRPr="00AE6CCA">
              <w:t>ственных</w:t>
            </w:r>
            <w:proofErr w:type="spellEnd"/>
            <w:r w:rsidR="00335EA5" w:rsidRPr="00AE6CCA">
              <w:t xml:space="preserve"> </w:t>
            </w:r>
            <w:r w:rsidR="00212A70" w:rsidRPr="00AE6CCA">
              <w:t>угодий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A70" w:rsidRPr="00AE6CCA" w:rsidRDefault="00212A70" w:rsidP="00E22835">
            <w:pPr>
              <w:jc w:val="center"/>
            </w:pPr>
            <w:r w:rsidRPr="00AE6CCA">
              <w:t>Палаты, Управления</w:t>
            </w:r>
            <w:r w:rsidR="008A68DC" w:rsidRPr="00AE6CCA">
              <w:t>, Комитеты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</w:t>
            </w:r>
            <w:r w:rsidR="00D233FE" w:rsidRPr="00AE6CCA">
              <w:t>образований Республики</w:t>
            </w:r>
            <w:r w:rsidR="00335EA5" w:rsidRPr="00AE6CCA">
              <w:t xml:space="preserve"> Татарстан</w:t>
            </w:r>
            <w:r w:rsidRPr="00AE6CCA">
              <w:t xml:space="preserve"> (по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AE6CCA" w:rsidRDefault="00EE1C9E" w:rsidP="00EE1C9E">
            <w:pPr>
              <w:jc w:val="center"/>
            </w:pPr>
            <w:r w:rsidRPr="00AE6CCA">
              <w:t>2016 – 2030 годы</w:t>
            </w:r>
          </w:p>
          <w:p w:rsidR="00362B26" w:rsidRPr="00AE6CCA" w:rsidRDefault="00362B26" w:rsidP="000103E2">
            <w:pPr>
              <w:jc w:val="center"/>
            </w:pP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716" w:rsidRPr="00AE6CCA" w:rsidRDefault="00E22835" w:rsidP="00220408">
            <w:pPr>
              <w:jc w:val="both"/>
            </w:pPr>
            <w:r w:rsidRPr="00AE6CCA">
              <w:t>На 01.01.2024 в Республике Татарстан площадь невостребованных долей земель сельскохозяйственного назначения составляет 361,84 тыс. га. В результате совместной работы Министерства, органов местного самоуправления республики и Министерства сельского хозяйства и продовольствия Республики Татарстан судебными органами приняты решения о признании права муниципальной собственности на 249,70</w:t>
            </w:r>
            <w:r w:rsidR="00960094">
              <w:t> </w:t>
            </w:r>
            <w:r w:rsidRPr="00AE6CCA">
              <w:t>тыс.</w:t>
            </w:r>
            <w:r w:rsidR="00960094">
              <w:t> </w:t>
            </w:r>
            <w:r w:rsidRPr="00AE6CCA">
              <w:t>га земель, при этом 95% из них зарегистрировано в муниципальную собственность.</w:t>
            </w:r>
          </w:p>
          <w:p w:rsidR="00A85DE3" w:rsidRPr="00AE6CCA" w:rsidRDefault="00FE2716" w:rsidP="00220408">
            <w:pPr>
              <w:jc w:val="both"/>
            </w:pPr>
            <w:r w:rsidRPr="00AE6CCA">
              <w:t xml:space="preserve">Большие затруднения у органов местного самоуправления вызывает оформление исковых заявлений о признании права муниципальной собственности в отношении земельных долей, по которым отсутствует информация о владельцах и их </w:t>
            </w:r>
            <w:r w:rsidR="00FD7B0C" w:rsidRPr="00AE6CCA">
              <w:t xml:space="preserve">  </w:t>
            </w:r>
            <w:r w:rsidRPr="00AE6CCA">
              <w:t>наследниках – их месте жительства, сведения о смерти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AE6CCA" w:rsidRDefault="00EE1C9E" w:rsidP="00EE1C9E">
            <w:pPr>
              <w:jc w:val="center"/>
            </w:pPr>
            <w:r w:rsidRPr="00AE6CCA">
              <w:t>5. Обеспечение установлен-</w:t>
            </w:r>
            <w:proofErr w:type="spellStart"/>
            <w:r w:rsidRPr="00AE6CCA">
              <w:t>ного</w:t>
            </w:r>
            <w:proofErr w:type="spellEnd"/>
            <w:r w:rsidRPr="00AE6CCA">
              <w:t xml:space="preserve"> порядка согласования документов </w:t>
            </w:r>
            <w:proofErr w:type="spellStart"/>
            <w:r w:rsidRPr="00AE6CCA">
              <w:t>территориаль-ного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планиро-вания</w:t>
            </w:r>
            <w:proofErr w:type="spellEnd"/>
            <w:r w:rsidRPr="00AE6CCA">
              <w:t xml:space="preserve"> и повышение их качества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AE6CCA" w:rsidRDefault="00EE1C9E" w:rsidP="00EE1C9E">
            <w:pPr>
              <w:jc w:val="center"/>
            </w:pPr>
            <w:r w:rsidRPr="00AE6CCA">
              <w:t xml:space="preserve">Обеспечение внесения в Единый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ный</w:t>
            </w:r>
            <w:proofErr w:type="spellEnd"/>
            <w:r w:rsidRPr="00AE6CCA">
              <w:t xml:space="preserve"> реестр недвижимости сведений о границах населенных пунктов и </w:t>
            </w:r>
            <w:proofErr w:type="spellStart"/>
            <w:r w:rsidRPr="00AE6CCA">
              <w:t>территориаль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зон, расположен</w:t>
            </w:r>
            <w:r w:rsidR="00DD3DAE" w:rsidRPr="00AE6CCA">
              <w:t>-</w:t>
            </w:r>
            <w:proofErr w:type="spellStart"/>
            <w:r w:rsidRPr="00AE6CCA">
              <w:t>ных</w:t>
            </w:r>
            <w:proofErr w:type="spellEnd"/>
            <w:r w:rsidRPr="00AE6CCA">
              <w:t xml:space="preserve"> на </w:t>
            </w:r>
            <w:r w:rsidRPr="00AE6CCA">
              <w:lastRenderedPageBreak/>
              <w:t>территории 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AE6CCA" w:rsidRDefault="00EE1C9E" w:rsidP="00EE1C9E">
            <w:pPr>
              <w:jc w:val="center"/>
            </w:pPr>
            <w:r w:rsidRPr="00AE6CCA">
              <w:lastRenderedPageBreak/>
              <w:t xml:space="preserve">Органы местного </w:t>
            </w:r>
            <w:proofErr w:type="spellStart"/>
            <w:proofErr w:type="gramStart"/>
            <w:r w:rsidRPr="00AE6CCA">
              <w:t>самоуправле</w:t>
            </w:r>
            <w:r w:rsidR="008A68DC" w:rsidRPr="00AE6CCA">
              <w:t>-</w:t>
            </w:r>
            <w:r w:rsidRPr="00AE6CCA">
              <w:t>ния</w:t>
            </w:r>
            <w:proofErr w:type="spellEnd"/>
            <w:proofErr w:type="gramEnd"/>
            <w:r w:rsidRPr="00AE6CCA">
              <w:t xml:space="preserve"> (по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  <w:r w:rsidR="00F83295" w:rsidRPr="00AE6CCA">
              <w:t>,</w:t>
            </w:r>
          </w:p>
          <w:p w:rsidR="00EE1C9E" w:rsidRPr="00AE6CCA" w:rsidRDefault="00EE1C9E" w:rsidP="00EE1C9E">
            <w:pPr>
              <w:jc w:val="center"/>
            </w:pPr>
            <w:r w:rsidRPr="00AE6CCA">
              <w:t>Министерство строительства архитектуры и жилищно-</w:t>
            </w:r>
            <w:proofErr w:type="spellStart"/>
            <w:r w:rsidRPr="00AE6CCA">
              <w:t>коммуналь</w:t>
            </w:r>
            <w:proofErr w:type="spellEnd"/>
            <w:r w:rsidR="008A68DC" w:rsidRPr="00AE6CCA">
              <w:t>-</w:t>
            </w:r>
            <w:proofErr w:type="spellStart"/>
            <w:r w:rsidRPr="00AE6CCA">
              <w:t>ного</w:t>
            </w:r>
            <w:proofErr w:type="spellEnd"/>
            <w:r w:rsidRPr="00AE6CCA">
              <w:t xml:space="preserve"> хозяйства </w:t>
            </w:r>
            <w:r w:rsidRPr="00AE6CCA">
              <w:lastRenderedPageBreak/>
              <w:t>Республики Татарстан</w:t>
            </w:r>
            <w:r w:rsidR="00F83295" w:rsidRPr="00AE6CCA">
              <w:t>,</w:t>
            </w:r>
          </w:p>
          <w:p w:rsidR="00EE1C9E" w:rsidRPr="00AE6CCA" w:rsidRDefault="00EE1C9E" w:rsidP="00EE1C9E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C9E" w:rsidRPr="00AE6CCA" w:rsidRDefault="00EE1C9E" w:rsidP="00EE1C9E">
            <w:pPr>
              <w:jc w:val="center"/>
            </w:pPr>
            <w:r w:rsidRPr="00AE6CCA">
              <w:lastRenderedPageBreak/>
              <w:t>2016 – 2023 годы</w:t>
            </w:r>
          </w:p>
        </w:tc>
        <w:tc>
          <w:tcPr>
            <w:tcW w:w="29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5F9" w:rsidRPr="00AE6CCA" w:rsidRDefault="00FE65F9" w:rsidP="00FE65F9">
            <w:pPr>
              <w:jc w:val="both"/>
            </w:pPr>
            <w:r w:rsidRPr="00AE6CCA">
              <w:t xml:space="preserve">В целях определения объема работ по приведению генеральных планов поселений в соответствие требованиям </w:t>
            </w:r>
            <w:r w:rsidR="00365759" w:rsidRPr="00AE6CCA">
              <w:t>Федерального закона от 31 декабря 2017 года № 507-ФЗ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Pr="00AE6CCA">
              <w:t xml:space="preserve"> государственным бюджетным учреждением «Фонд пространственных данных Республики Татарстан» осуществлен сбор информации о находящихся в разработке генеральных планах и правилах землепользования и застройки от муниципальных районов Республики Татарстан.</w:t>
            </w:r>
          </w:p>
          <w:p w:rsidR="00A048A2" w:rsidRPr="00AE6CCA" w:rsidRDefault="00A048A2" w:rsidP="00A048A2">
            <w:pPr>
              <w:jc w:val="both"/>
            </w:pPr>
            <w:r w:rsidRPr="00AE6CCA">
              <w:t>По состоянию на 01.01.2024 в ЕГРН внесены сведения:</w:t>
            </w:r>
          </w:p>
          <w:p w:rsidR="00A048A2" w:rsidRPr="00AE6CCA" w:rsidRDefault="00A048A2" w:rsidP="00A048A2">
            <w:pPr>
              <w:jc w:val="both"/>
            </w:pPr>
            <w:r w:rsidRPr="00AE6CCA">
              <w:t xml:space="preserve">на 85,76% </w:t>
            </w:r>
            <w:r w:rsidR="00D3326D" w:rsidRPr="00AE6CCA">
              <w:t xml:space="preserve">– </w:t>
            </w:r>
            <w:r w:rsidRPr="00AE6CCA">
              <w:t>в отношении границ населенных пунктов (2 675 населенных пунктов из 3</w:t>
            </w:r>
            <w:r w:rsidR="00D3326D" w:rsidRPr="00AE6CCA">
              <w:t> </w:t>
            </w:r>
            <w:r w:rsidRPr="00AE6CCA">
              <w:t>119).</w:t>
            </w:r>
            <w:r w:rsidR="00D3326D" w:rsidRPr="00AE6CCA">
              <w:t xml:space="preserve"> </w:t>
            </w:r>
            <w:r w:rsidRPr="00AE6CCA">
              <w:t>Остается внести в ЕГРН сведения в отношении 444 населенных пунктов, при этом путем утверждения схем территориального планирования 170</w:t>
            </w:r>
            <w:r w:rsidR="00D3326D" w:rsidRPr="00AE6CCA">
              <w:t> </w:t>
            </w:r>
            <w:r w:rsidRPr="00AE6CCA">
              <w:t>населенных пунктов, путем утверждения генеральных планов 240 населенных пунктов (по 145</w:t>
            </w:r>
            <w:r w:rsidR="00D3326D" w:rsidRPr="00AE6CCA">
              <w:t> </w:t>
            </w:r>
            <w:r w:rsidRPr="00AE6CCA">
              <w:t>населенным пунктам – генпланы в работе, по 35 населенным пунктам – генпланы на согласовании, по 60 населенным пунктам – генпланы утверждены);</w:t>
            </w:r>
          </w:p>
          <w:p w:rsidR="00EE1C9E" w:rsidRPr="00AE6CCA" w:rsidRDefault="00A048A2" w:rsidP="00D3326D">
            <w:pPr>
              <w:jc w:val="both"/>
            </w:pPr>
            <w:r w:rsidRPr="00AE6CCA">
              <w:lastRenderedPageBreak/>
              <w:t xml:space="preserve">на 56,85% </w:t>
            </w:r>
            <w:r w:rsidR="00D3326D" w:rsidRPr="00AE6CCA">
              <w:t xml:space="preserve">– </w:t>
            </w:r>
            <w:r w:rsidRPr="00AE6CCA">
              <w:t>в отношении границ территориальных зон (7 221 территориальной зоны из 12 701). Остается поставить на кадастровый учет границы 5 480 территориальных зон. В разрезе сельских и городских поселений в ЕГРН внесены сведения о границах всех территориальных зон 243 поселений, в разработке у различных организаций находятся правила землепользования и застройки 194</w:t>
            </w:r>
            <w:r w:rsidR="00D3326D" w:rsidRPr="00AE6CCA">
              <w:t> </w:t>
            </w:r>
            <w:r w:rsidRPr="00AE6CCA">
              <w:t>поселений. Требуется разработка правил землепользования и застройки 476 поселений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561236">
            <w:pPr>
              <w:jc w:val="center"/>
            </w:pPr>
            <w:r w:rsidRPr="00AE6CCA">
              <w:lastRenderedPageBreak/>
              <w:t xml:space="preserve">6. Обеспечение реализации </w:t>
            </w:r>
            <w:proofErr w:type="spellStart"/>
            <w:r w:rsidRPr="00AE6CCA">
              <w:t>инвестицион</w:t>
            </w:r>
            <w:r w:rsidR="001C6D94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инфра</w:t>
            </w:r>
            <w:r w:rsidR="001C6D94" w:rsidRPr="00AE6CCA">
              <w:t>-</w:t>
            </w:r>
            <w:r w:rsidRPr="00AE6CCA">
              <w:t>структурных проектов земельными участками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561236">
            <w:pPr>
              <w:jc w:val="center"/>
            </w:pPr>
            <w:r w:rsidRPr="00AE6CCA">
              <w:t xml:space="preserve">6.1. Обеспечение реализации </w:t>
            </w:r>
            <w:proofErr w:type="spellStart"/>
            <w:r w:rsidRPr="00AE6CCA">
              <w:t>инвестицион</w:t>
            </w:r>
            <w:r w:rsidR="00D2266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инфраструк</w:t>
            </w:r>
            <w:r w:rsidR="001C6D94" w:rsidRPr="00AE6CCA">
              <w:t>-</w:t>
            </w:r>
            <w:r w:rsidRPr="00AE6CCA">
              <w:t>турных</w:t>
            </w:r>
            <w:proofErr w:type="spellEnd"/>
            <w:r w:rsidRPr="00AE6CCA">
              <w:t xml:space="preserve"> проектов земельными участками  путем выкупа, изъятия, мены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561236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E82DEE">
            <w:pPr>
              <w:jc w:val="center"/>
            </w:pPr>
            <w:r w:rsidRPr="00AE6CCA">
              <w:t>2016</w:t>
            </w:r>
            <w:r w:rsidR="00EE1C9E" w:rsidRPr="00AE6CCA">
              <w:t xml:space="preserve"> </w:t>
            </w:r>
            <w:r w:rsidRPr="00AE6CCA">
              <w:t>–</w:t>
            </w:r>
            <w:r w:rsidR="00EE1C9E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5" w:rsidRPr="00AE6CCA" w:rsidRDefault="00C965F5" w:rsidP="00C965F5">
            <w:pPr>
              <w:jc w:val="both"/>
            </w:pPr>
            <w:r w:rsidRPr="00AE6CCA">
              <w:t>В Республике Татарстан в соответствии с земельным законодательством предоставляются земельные участки в целях реализации инвестиционных проектов и размещения объектов социально-культурного и коммунально-бытового назначения. Постановлением Кабинета Министров Республики Татарстан от 09.07.2021 №</w:t>
            </w:r>
            <w:r w:rsidR="00D3326D" w:rsidRPr="00AE6CCA">
              <w:t> </w:t>
            </w:r>
            <w:r w:rsidRPr="00AE6CCA">
              <w:t>554 утвержден новый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проектов. Ранее действовавший порядок, утвержденный постановлением Кабинета Министров Республики Татарстан от 30.12.2015 № 1034, прекратил свое действие.</w:t>
            </w:r>
          </w:p>
          <w:p w:rsidR="00C965F5" w:rsidRPr="00AE6CCA" w:rsidRDefault="00C965F5" w:rsidP="00C965F5">
            <w:pPr>
              <w:jc w:val="both"/>
            </w:pPr>
            <w:r w:rsidRPr="00AE6CCA">
              <w:t>В соответствии с постановлением Кабинета Министров Республики Татарстан от 09.07.2021 №</w:t>
            </w:r>
            <w:r w:rsidR="00D3326D" w:rsidRPr="00AE6CCA">
              <w:t> </w:t>
            </w:r>
            <w:r w:rsidRPr="00AE6CCA">
              <w:t xml:space="preserve">554 Министерством подготавливаются и направляются в Кабинет Министров Республики Татарстан проекты распоряжений </w:t>
            </w:r>
            <w:r w:rsidR="00A02B14" w:rsidRPr="00AE6CCA">
              <w:t>Раис</w:t>
            </w:r>
            <w:r w:rsidRPr="00AE6CCA">
              <w:t xml:space="preserve">а Республики Татарстан. Во исполнение распоряжений </w:t>
            </w:r>
            <w:r w:rsidR="00A02B14" w:rsidRPr="00AE6CCA">
              <w:t>Раис</w:t>
            </w:r>
            <w:r w:rsidRPr="00AE6CCA">
              <w:t>а Республики Татарстан Министерством заключаются договоры аренды земельных участков. В отношении земельных участков, находящихся в муниципальной собственности или право на которые не разграничено, предоставление осуществляется органами местного самоуправления.</w:t>
            </w:r>
          </w:p>
          <w:p w:rsidR="00541273" w:rsidRPr="00AE6CCA" w:rsidRDefault="00541273" w:rsidP="00541273">
            <w:pPr>
              <w:jc w:val="both"/>
            </w:pPr>
            <w:r w:rsidRPr="00AE6CCA">
              <w:t>В 2023</w:t>
            </w:r>
            <w:r w:rsidR="00D3326D" w:rsidRPr="00AE6CCA">
              <w:t> </w:t>
            </w:r>
            <w:r w:rsidRPr="00AE6CCA">
              <w:t>году принято 19</w:t>
            </w:r>
            <w:r w:rsidR="00D3326D" w:rsidRPr="00AE6CCA">
              <w:t> </w:t>
            </w:r>
            <w:r w:rsidRPr="00AE6CCA">
              <w:t>распоряжений Раиса Республики Татарстан. Заключено 17</w:t>
            </w:r>
            <w:r w:rsidR="001C39D1" w:rsidRPr="00AE6CCA">
              <w:t> </w:t>
            </w:r>
            <w:r w:rsidRPr="00AE6CCA">
              <w:t>договоров аренды 83 земельных участков, из них 8 договоров аренды 45</w:t>
            </w:r>
            <w:r w:rsidR="001C39D1" w:rsidRPr="00AE6CCA">
              <w:t> </w:t>
            </w:r>
            <w:r w:rsidRPr="00AE6CCA">
              <w:t>земельных участков общей площадью 1</w:t>
            </w:r>
            <w:r w:rsidR="00D3326D" w:rsidRPr="00AE6CCA">
              <w:t> </w:t>
            </w:r>
            <w:r w:rsidRPr="00AE6CCA">
              <w:t>565 га заключено Министерством.</w:t>
            </w:r>
          </w:p>
          <w:p w:rsidR="00541273" w:rsidRPr="00AE6CCA" w:rsidRDefault="00541273" w:rsidP="00541273">
            <w:pPr>
              <w:jc w:val="both"/>
            </w:pPr>
            <w:r w:rsidRPr="00AE6CCA">
              <w:lastRenderedPageBreak/>
              <w:t>В целях реализации инвестиционных проектов, для реализации которых допускается предоставление земельных участков в аренду без проведения торгов, земельные участки предоставлены с учетом качественных и количественных показателей следующих критериев:</w:t>
            </w:r>
          </w:p>
          <w:p w:rsidR="00541273" w:rsidRPr="00AE6CCA" w:rsidRDefault="00541273" w:rsidP="00541273">
            <w:pPr>
              <w:jc w:val="both"/>
            </w:pPr>
            <w:r w:rsidRPr="00AE6CCA">
              <w:t>1) критерий «Инвестиционный проект предполагает объем инвестиций не менее 70</w:t>
            </w:r>
            <w:r w:rsidR="001C39D1" w:rsidRPr="00AE6CCA">
              <w:t> </w:t>
            </w:r>
            <w:r w:rsidRPr="00AE6CCA">
              <w:t>миллионов рублей в строительство стационарной автомобильной заправочной станции публичного доступа, обеспечивающей возможность заправки транспортных средств компримированным (сжатым) и (или) сжиженным природным газом (метаном) (</w:t>
            </w:r>
            <w:proofErr w:type="spellStart"/>
            <w:r w:rsidRPr="00AE6CCA">
              <w:t>мультитопливной</w:t>
            </w:r>
            <w:proofErr w:type="spellEnd"/>
            <w:r w:rsidRPr="00AE6CCA">
              <w:t xml:space="preserve"> автомобильной заправочной станции, обеспечивающей возможность заправки компримированным (сжатым) и (или) сжиженным природным газом (метаном), автомобильной газонаполнительной компрессорной станции, криогенной автозаправочной станции, обеспечивающей возможность заправки компримированным (сжатым) и (или) сжиженным природным газом (метаном))» – 2</w:t>
            </w:r>
            <w:r w:rsidR="001C39D1" w:rsidRPr="00AE6CCA">
              <w:t> </w:t>
            </w:r>
            <w:r w:rsidRPr="00AE6CCA">
              <w:t xml:space="preserve">распоряжения, 2 договора аренды 2 земельных участков; </w:t>
            </w:r>
          </w:p>
          <w:p w:rsidR="00541273" w:rsidRPr="00AE6CCA" w:rsidRDefault="00541273" w:rsidP="00541273">
            <w:pPr>
              <w:jc w:val="both"/>
            </w:pPr>
            <w:r w:rsidRPr="00AE6CCA">
              <w:t>2) критерий «Инвестиционный проект предполагает объем инвестиций не менее 350</w:t>
            </w:r>
            <w:r w:rsidR="007124D3" w:rsidRPr="00AE6CCA">
              <w:t> </w:t>
            </w:r>
            <w:r w:rsidRPr="00AE6CCA">
              <w:t>миллионов рублей (за исключением строительства индивидуальных жилых домов и (или) многоквартирных домов)» – 13</w:t>
            </w:r>
            <w:r w:rsidR="003E7A47" w:rsidRPr="00AE6CCA">
              <w:t> </w:t>
            </w:r>
            <w:r w:rsidRPr="00AE6CCA">
              <w:t>распоряжений, 12</w:t>
            </w:r>
            <w:r w:rsidR="003E7A47" w:rsidRPr="00AE6CCA">
              <w:t> </w:t>
            </w:r>
            <w:r w:rsidRPr="00AE6CCA">
              <w:t>договоров аренды 78</w:t>
            </w:r>
            <w:r w:rsidR="001C39D1" w:rsidRPr="00AE6CCA">
              <w:t> </w:t>
            </w:r>
            <w:r w:rsidRPr="00AE6CCA">
              <w:t>земельных участков.</w:t>
            </w:r>
          </w:p>
          <w:p w:rsidR="00541273" w:rsidRPr="00AE6CCA" w:rsidRDefault="00541273" w:rsidP="00541273">
            <w:pPr>
              <w:jc w:val="both"/>
            </w:pPr>
            <w:r w:rsidRPr="00AE6CCA">
              <w:t>3) критерий «Инвестиционный проект предполагает строительство многоквартирного дома (многоквартирных домов) общей площадью жилых помещений не менее пяти тысяч квадратных метров и (или) иных объектов капитального строительства с предоставлением одной или нескольких из следующих мер поддержки пострадавших от действий (бездействия) недобросовестных застройщиков граждан, денежные средства которых привлечены для строитель</w:t>
            </w:r>
            <w:r w:rsidR="00A5386C" w:rsidRPr="00AE6CCA">
              <w:t>ства многоквартирных домов» – 2 </w:t>
            </w:r>
            <w:r w:rsidRPr="00AE6CCA">
              <w:t>распоряжения, 2 договора аренды 2 земельных участков;</w:t>
            </w:r>
          </w:p>
          <w:p w:rsidR="00541273" w:rsidRPr="00AE6CCA" w:rsidRDefault="00541273" w:rsidP="00541273">
            <w:pPr>
              <w:jc w:val="both"/>
            </w:pPr>
            <w:r w:rsidRPr="00AE6CCA">
              <w:t>4) критерий «Инвестиционный проект предполагает объем инвестиций не менее 2,5</w:t>
            </w:r>
            <w:r w:rsidR="001C39D1" w:rsidRPr="00AE6CCA">
              <w:t> </w:t>
            </w:r>
            <w:r w:rsidRPr="00AE6CCA">
              <w:t xml:space="preserve">миллиона рублей на территории опережающего социально-экономического развития «Чистополь» или территории опережающего социально-экономического развития «Менделеевск» в течение первого года после включения юридического лица в реестр резидентов территорий опережающего развития при осуществлении </w:t>
            </w:r>
            <w:r w:rsidRPr="00AE6CCA">
              <w:lastRenderedPageBreak/>
              <w:t>резидентом соответствующей территории опережающего социально-экономического развития видов экономической деятельности, определенных решением Правительства Российской Федерации о ее создании» – 1</w:t>
            </w:r>
            <w:r w:rsidR="00A5386C" w:rsidRPr="00AE6CCA">
              <w:t> </w:t>
            </w:r>
            <w:r w:rsidRPr="00AE6CCA">
              <w:t>распоряжение, 1</w:t>
            </w:r>
            <w:r w:rsidR="00A5386C" w:rsidRPr="00AE6CCA">
              <w:t> </w:t>
            </w:r>
            <w:r w:rsidRPr="00AE6CCA">
              <w:t>договор аренды 1</w:t>
            </w:r>
            <w:r w:rsidR="001C39D1" w:rsidRPr="00AE6CCA">
              <w:t> </w:t>
            </w:r>
            <w:r w:rsidRPr="00AE6CCA">
              <w:t>земельного участка;</w:t>
            </w:r>
          </w:p>
          <w:p w:rsidR="00541273" w:rsidRPr="00AE6CCA" w:rsidRDefault="00541273" w:rsidP="00541273">
            <w:pPr>
              <w:jc w:val="both"/>
            </w:pPr>
            <w:r w:rsidRPr="00AE6CCA">
              <w:t>5) критерий «Инвестиционный проект предполага</w:t>
            </w:r>
            <w:r w:rsidR="001C39D1" w:rsidRPr="00AE6CCA">
              <w:t>ет объем инвестиций не менее 20 м</w:t>
            </w:r>
            <w:r w:rsidRPr="00AE6CCA">
              <w:t xml:space="preserve">иллионов рублей на территории опережающего социально-экономического развития "Набережные Челны" при осуществлении ее резидентом видов экономической деятельности, определенных решением Правительства Российской Федерации о создании соответствующей территории опережающего социально-экономического развития, в том числе не менее 2,5 миллиона рублей – в течение первого года после включения юридического лица в реестр резидентов территорий опережающего развития, создаваемых на территориях </w:t>
            </w:r>
            <w:proofErr w:type="spellStart"/>
            <w:r w:rsidRPr="00AE6CCA">
              <w:t>монопрофильных</w:t>
            </w:r>
            <w:proofErr w:type="spellEnd"/>
            <w:r w:rsidRPr="00AE6CCA">
              <w:t xml:space="preserve"> муниципальных образований Российской Федерации (моногородов) – 1</w:t>
            </w:r>
            <w:r w:rsidR="001C39D1" w:rsidRPr="00AE6CCA">
              <w:t> </w:t>
            </w:r>
            <w:r w:rsidRPr="00AE6CCA">
              <w:t>распоряжение.</w:t>
            </w:r>
          </w:p>
          <w:p w:rsidR="00541273" w:rsidRPr="00AE6CCA" w:rsidRDefault="00541273" w:rsidP="00541273">
            <w:pPr>
              <w:jc w:val="both"/>
            </w:pPr>
            <w:r w:rsidRPr="00AE6CCA">
              <w:t>По итогам 2023 года наиболее масштабными инвестиционными проектами явились:</w:t>
            </w:r>
          </w:p>
          <w:p w:rsidR="00541273" w:rsidRPr="00AE6CCA" w:rsidRDefault="00541273" w:rsidP="00541273">
            <w:pPr>
              <w:jc w:val="both"/>
            </w:pPr>
            <w:r w:rsidRPr="00AE6CCA">
              <w:t>«Строительство многофункционального комплекса с конгресс-центром по ул.</w:t>
            </w:r>
            <w:r w:rsidR="001C39D1" w:rsidRPr="00AE6CCA">
              <w:t> </w:t>
            </w:r>
            <w:proofErr w:type="spellStart"/>
            <w:r w:rsidRPr="00AE6CCA">
              <w:t>Сибгата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Хакима</w:t>
            </w:r>
            <w:proofErr w:type="spellEnd"/>
            <w:r w:rsidRPr="00AE6CCA">
              <w:t xml:space="preserve"> г.</w:t>
            </w:r>
            <w:r w:rsidR="00FA5307">
              <w:t> </w:t>
            </w:r>
            <w:r w:rsidRPr="00AE6CCA">
              <w:t xml:space="preserve">Казани» (строительство многофункционального комплекса, в составе которого предусмотрены: гостиница категории 5*, апартаменты, бизнес-центр, конгресс-центр, торговый центр на территории набережной реки Казанки по улице </w:t>
            </w:r>
            <w:proofErr w:type="spellStart"/>
            <w:r w:rsidRPr="00AE6CCA">
              <w:t>Сибгата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Хакима</w:t>
            </w:r>
            <w:proofErr w:type="spellEnd"/>
            <w:r w:rsidRPr="00AE6CCA">
              <w:t xml:space="preserve"> города Казани). Планируемый объем инвестиций составит 28</w:t>
            </w:r>
            <w:r w:rsidR="001C39D1" w:rsidRPr="00AE6CCA">
              <w:t> </w:t>
            </w:r>
            <w:r w:rsidRPr="00AE6CCA">
              <w:t>723,4</w:t>
            </w:r>
            <w:r w:rsidR="00D3326D" w:rsidRPr="00AE6CCA">
              <w:t> </w:t>
            </w:r>
            <w:r w:rsidRPr="00AE6CCA">
              <w:t>млн рублей. Срок реализации проекта – 5 лет;</w:t>
            </w:r>
          </w:p>
          <w:p w:rsidR="00541273" w:rsidRPr="00AE6CCA" w:rsidRDefault="00541273" w:rsidP="00541273">
            <w:pPr>
              <w:jc w:val="both"/>
            </w:pPr>
            <w:r w:rsidRPr="00AE6CCA">
              <w:t>«Логистический комплекс АО «ОЭЗ ППТ «</w:t>
            </w:r>
            <w:proofErr w:type="spellStart"/>
            <w:r w:rsidRPr="00AE6CCA">
              <w:t>Алабуга</w:t>
            </w:r>
            <w:proofErr w:type="spellEnd"/>
            <w:r w:rsidRPr="00AE6CCA">
              <w:t>» индустриального парка «Этилен 600». Планируемый объем инвестиций составит 30 000 млн рублей. Срок реализации проекта – 4 года;</w:t>
            </w:r>
          </w:p>
          <w:p w:rsidR="00541273" w:rsidRPr="00AE6CCA" w:rsidRDefault="00541273" w:rsidP="00541273">
            <w:pPr>
              <w:jc w:val="both"/>
            </w:pPr>
            <w:r w:rsidRPr="00AE6CCA">
              <w:t>«Создание индустриального парка «Тура 2.0». Планируемый объем инвестиций составит 750 млн рублей. Срок реализации проекта – 14 лет;</w:t>
            </w:r>
          </w:p>
          <w:p w:rsidR="00541273" w:rsidRPr="00AE6CCA" w:rsidRDefault="00541273" w:rsidP="00541273">
            <w:pPr>
              <w:jc w:val="both"/>
            </w:pPr>
            <w:r w:rsidRPr="00AE6CCA">
              <w:t>«Строительство завода по изготовлению нефтяного оборудования». Планируемый объем инвестиций составит 360 млн рублей. Срок реализации проекта – 15 лет.</w:t>
            </w:r>
          </w:p>
          <w:p w:rsidR="00343FF0" w:rsidRPr="00AE6CCA" w:rsidRDefault="00541273" w:rsidP="008044A6">
            <w:pPr>
              <w:jc w:val="both"/>
            </w:pPr>
            <w:r w:rsidRPr="00AE6CCA">
              <w:t>В целях размещения объектов социально-культурного и коммунально-бытового назначения принято 3</w:t>
            </w:r>
            <w:r w:rsidR="008044A6">
              <w:t> </w:t>
            </w:r>
            <w:r w:rsidRPr="00AE6CCA">
              <w:t>распоряжения Раиса Республики Татарстан, заключено 3</w:t>
            </w:r>
            <w:r w:rsidR="00F65241">
              <w:t> д</w:t>
            </w:r>
            <w:r w:rsidRPr="00AE6CCA">
              <w:t>оговора аренды земельных участков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DE3" w:rsidRPr="00AE6CCA" w:rsidRDefault="00A85DE3" w:rsidP="00A85DE3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8A68DC">
            <w:pPr>
              <w:jc w:val="center"/>
            </w:pPr>
            <w:r w:rsidRPr="00AE6CCA">
              <w:t xml:space="preserve">6.2. Выкуп </w:t>
            </w:r>
            <w:proofErr w:type="spellStart"/>
            <w:r w:rsidRPr="00AE6CCA">
              <w:t>инвестицион</w:t>
            </w:r>
            <w:proofErr w:type="spellEnd"/>
            <w:r w:rsidR="008A68DC" w:rsidRPr="00AE6CCA">
              <w:t>-</w:t>
            </w:r>
            <w:r w:rsidRPr="00AE6CCA">
              <w:t>но-</w:t>
            </w:r>
            <w:proofErr w:type="spellStart"/>
            <w:r w:rsidRPr="00AE6CCA">
              <w:t>привлекатель</w:t>
            </w:r>
            <w:proofErr w:type="spellEnd"/>
            <w:r w:rsidR="008A68DC" w:rsidRPr="00AE6CCA">
              <w:t>-</w:t>
            </w:r>
            <w:proofErr w:type="spellStart"/>
            <w:r w:rsidRPr="00AE6CCA">
              <w:t>ных</w:t>
            </w:r>
            <w:proofErr w:type="spellEnd"/>
            <w:r w:rsidRPr="00AE6CCA">
              <w:t xml:space="preserve"> земельных участков  при реализации прав </w:t>
            </w:r>
            <w:proofErr w:type="spellStart"/>
            <w:r w:rsidRPr="00AE6CCA">
              <w:t>преимущест</w:t>
            </w:r>
            <w:proofErr w:type="spellEnd"/>
            <w:r w:rsidR="008A68DC" w:rsidRPr="00AE6CCA">
              <w:t>-</w:t>
            </w:r>
            <w:r w:rsidRPr="00AE6CCA">
              <w:t xml:space="preserve">венного выкупа земель </w:t>
            </w:r>
            <w:proofErr w:type="spellStart"/>
            <w:r w:rsidRPr="00AE6CCA">
              <w:t>сельскохо</w:t>
            </w:r>
            <w:r w:rsidR="001C6D94" w:rsidRPr="00AE6CCA">
              <w:t>-</w:t>
            </w:r>
            <w:r w:rsidRPr="00AE6CCA">
              <w:t>зяйственного</w:t>
            </w:r>
            <w:proofErr w:type="spellEnd"/>
            <w:r w:rsidRPr="00AE6CCA">
              <w:t xml:space="preserve"> назначения (при наличии </w:t>
            </w:r>
            <w:proofErr w:type="spellStart"/>
            <w:r w:rsidRPr="00AE6CCA">
              <w:t>финансирова</w:t>
            </w:r>
            <w:r w:rsidR="008A68DC" w:rsidRPr="00AE6CCA">
              <w:t>-</w:t>
            </w:r>
            <w:r w:rsidRPr="00AE6CCA">
              <w:t>ния</w:t>
            </w:r>
            <w:proofErr w:type="spellEnd"/>
            <w:r w:rsidRPr="00AE6CCA"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463E4D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A85DE3" w:rsidRPr="00AE6CCA" w:rsidRDefault="00A85DE3" w:rsidP="00463E4D">
            <w:pPr>
              <w:jc w:val="center"/>
            </w:pPr>
            <w:r w:rsidRPr="00AE6CCA">
              <w:t>Министерство финансов Республики Татарстан,</w:t>
            </w:r>
          </w:p>
          <w:p w:rsidR="00A85DE3" w:rsidRPr="00AE6CCA" w:rsidRDefault="00A85DE3" w:rsidP="00463E4D">
            <w:pPr>
              <w:jc w:val="center"/>
            </w:pPr>
            <w:r w:rsidRPr="00AE6CCA">
              <w:t xml:space="preserve">органы местного </w:t>
            </w:r>
            <w:proofErr w:type="spellStart"/>
            <w:r w:rsidRPr="00AE6CCA">
              <w:t>самоуправле</w:t>
            </w:r>
            <w:r w:rsidR="008A68DC" w:rsidRPr="00AE6CCA">
              <w:t>-</w:t>
            </w:r>
            <w:r w:rsidRPr="00AE6CCA">
              <w:t>ния</w:t>
            </w:r>
            <w:proofErr w:type="spellEnd"/>
            <w:r w:rsidRPr="00AE6CCA">
              <w:t xml:space="preserve"> Республики Татарстан (по 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E82DEE">
            <w:pPr>
              <w:jc w:val="center"/>
            </w:pPr>
            <w:r w:rsidRPr="00AE6CCA">
              <w:t>2016</w:t>
            </w:r>
            <w:r w:rsidR="00F83295" w:rsidRPr="00AE6CCA">
              <w:t xml:space="preserve"> </w:t>
            </w:r>
            <w:r w:rsidRPr="00AE6CCA">
              <w:t>–</w:t>
            </w:r>
            <w:r w:rsidR="00F83295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D3" w:rsidRPr="00AE6CCA" w:rsidRDefault="007124D3" w:rsidP="007124D3">
            <w:pPr>
              <w:jc w:val="both"/>
            </w:pPr>
            <w:r w:rsidRPr="00AE6CCA">
              <w:t>В соответствии со статьей 8 Федерального закона от 24 июля 2002 года № 101-ФЗ «Об обороте земель сельскохозяйственного назначения»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      </w:r>
          </w:p>
          <w:p w:rsidR="007124D3" w:rsidRPr="00AE6CCA" w:rsidRDefault="007124D3" w:rsidP="007124D3">
            <w:pPr>
              <w:jc w:val="both"/>
            </w:pPr>
            <w:r w:rsidRPr="00AE6CCA">
              <w:t>Во исполнение данной нормы законодательства в 2023</w:t>
            </w:r>
            <w:r w:rsidR="00D3326D" w:rsidRPr="00AE6CCA">
              <w:t> </w:t>
            </w:r>
            <w:r w:rsidRPr="00AE6CCA">
              <w:t>году Министерством рассмотрено более 2</w:t>
            </w:r>
            <w:r w:rsidR="00D3326D" w:rsidRPr="00AE6CCA">
              <w:t> </w:t>
            </w:r>
            <w:r w:rsidRPr="00AE6CCA">
              <w:t>230</w:t>
            </w:r>
            <w:r w:rsidR="00D3326D" w:rsidRPr="00AE6CCA">
              <w:t> </w:t>
            </w:r>
            <w:r w:rsidRPr="00AE6CCA">
              <w:t>извещений о намерении продать земельные участки сельскохозяйственного назначения. В рамках реализации преимущественного права покупки в собственность Республики Татарстан приобретено 26 земельных участков из земель сельскохозяйственного назначения.</w:t>
            </w:r>
          </w:p>
          <w:p w:rsidR="007124D3" w:rsidRPr="00AE6CCA" w:rsidRDefault="007124D3" w:rsidP="007124D3">
            <w:pPr>
              <w:jc w:val="both"/>
            </w:pPr>
            <w:r w:rsidRPr="00AE6CCA">
              <w:t>В муниципальную собственность в 2023</w:t>
            </w:r>
            <w:r w:rsidR="00D3326D" w:rsidRPr="00AE6CCA">
              <w:t> </w:t>
            </w:r>
            <w:r w:rsidRPr="00AE6CCA">
              <w:t xml:space="preserve">году из земель сельскохозяйственного назначения приобретен </w:t>
            </w:r>
            <w:proofErr w:type="spellStart"/>
            <w:r w:rsidRPr="00AE6CCA">
              <w:t>Сармановским</w:t>
            </w:r>
            <w:proofErr w:type="spellEnd"/>
            <w:r w:rsidRPr="00AE6CCA">
              <w:t xml:space="preserve"> муниципальным районом Республики Татарстан 1 земельный участок площадью 9 га.</w:t>
            </w:r>
          </w:p>
          <w:p w:rsidR="00463E4D" w:rsidRPr="00AE6CCA" w:rsidRDefault="007124D3" w:rsidP="007124D3">
            <w:pPr>
              <w:jc w:val="both"/>
            </w:pPr>
            <w:r w:rsidRPr="00AE6CCA">
              <w:t>Актуальным остается вопрос неэффективного использования земель сельскохозяйственного назначения. Согласно данным Управления Федеральной службы по ветеринарному и фитосанитарному надзору по Республике Татарстан, на 01.11.2023 в Республике Татарстан выявлено 76,36 тыс. га неиспользуемых земель сельскохозяйственного назначения, из них вовлечено в сельскохозяйственный оборот 22,01 тыс. га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1C6D94" w:rsidP="00463E4D">
            <w:pPr>
              <w:jc w:val="center"/>
            </w:pPr>
            <w:r w:rsidRPr="00AE6CCA">
              <w:lastRenderedPageBreak/>
              <w:t>8. </w:t>
            </w:r>
            <w:proofErr w:type="spellStart"/>
            <w:r w:rsidR="00A85DE3" w:rsidRPr="00AE6CCA">
              <w:t>Предостав</w:t>
            </w:r>
            <w:r w:rsidRPr="00AE6CCA">
              <w:t>-</w:t>
            </w:r>
            <w:r w:rsidR="00A85DE3" w:rsidRPr="00AE6CCA">
              <w:t>ление</w:t>
            </w:r>
            <w:proofErr w:type="spellEnd"/>
            <w:r w:rsidR="00A85DE3" w:rsidRPr="00AE6CCA">
              <w:t xml:space="preserve"> земельных участков многодетным семьям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DD3DAE">
            <w:pPr>
              <w:jc w:val="center"/>
            </w:pPr>
            <w:r w:rsidRPr="00AE6CCA">
              <w:t xml:space="preserve">8.1. </w:t>
            </w:r>
            <w:r w:rsidR="00AF2884" w:rsidRPr="00AE6CCA">
              <w:t>Обеспечение</w:t>
            </w:r>
            <w:r w:rsidRPr="00AE6CCA">
              <w:t xml:space="preserve"> дол</w:t>
            </w:r>
            <w:r w:rsidR="00AF2884" w:rsidRPr="00AE6CCA">
              <w:t>и</w:t>
            </w:r>
            <w:r w:rsidRPr="00AE6CCA">
              <w:t xml:space="preserve"> </w:t>
            </w:r>
            <w:proofErr w:type="spellStart"/>
            <w:r w:rsidRPr="00AE6CCA">
              <w:t>многодет</w:t>
            </w:r>
            <w:r w:rsidR="001C6D94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семей, получивших бесплатно земельные участки, в общем числе </w:t>
            </w:r>
            <w:r w:rsidRPr="00AE6CCA">
              <w:lastRenderedPageBreak/>
              <w:t>многодетных семей, вставших на учет для бесплатного предоставления земельных участков на начало отчетного года</w:t>
            </w:r>
            <w:r w:rsidR="001C6D94" w:rsidRPr="00AE6CCA">
              <w:t>,</w:t>
            </w:r>
            <w:r w:rsidR="00AF2884" w:rsidRPr="00AE6CCA">
              <w:t xml:space="preserve"> не менее 69</w:t>
            </w:r>
            <w:r w:rsidRPr="00AE6CCA">
              <w:t>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103DC6">
            <w:pPr>
              <w:jc w:val="center"/>
            </w:pPr>
            <w:r w:rsidRPr="00AE6CCA">
              <w:lastRenderedPageBreak/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</w:t>
            </w:r>
            <w:r w:rsidRPr="00AE6CCA">
              <w:lastRenderedPageBreak/>
              <w:t xml:space="preserve">образований Республики Татарстан (по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541F97">
            <w:pPr>
              <w:jc w:val="center"/>
            </w:pPr>
            <w:r w:rsidRPr="00AE6CCA">
              <w:lastRenderedPageBreak/>
              <w:t>201</w:t>
            </w:r>
            <w:r w:rsidR="00541F97" w:rsidRPr="00AE6CCA">
              <w:t>6</w:t>
            </w:r>
            <w:r w:rsidR="002A0C56" w:rsidRPr="00AE6CCA">
              <w:t xml:space="preserve"> </w:t>
            </w:r>
            <w:r w:rsidRPr="00AE6CCA">
              <w:t>–</w:t>
            </w:r>
            <w:r w:rsidR="002A0C56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6" w:rsidRPr="00AE6CCA" w:rsidRDefault="00D0224A" w:rsidP="00103DC6">
            <w:pPr>
              <w:jc w:val="both"/>
            </w:pPr>
            <w:r w:rsidRPr="00AE6CCA">
              <w:t>По данным органов местного самоуправления, на 01.01.2024 всего в Республике Татарстан около 78,2 тысячи многодетных семей, из них включены в списки на получение участков более 72</w:t>
            </w:r>
            <w:r w:rsidR="00985241" w:rsidRPr="00AE6CCA">
              <w:t> </w:t>
            </w:r>
            <w:r w:rsidRPr="00AE6CCA">
              <w:t>тысяч</w:t>
            </w:r>
            <w:r w:rsidR="00985241" w:rsidRPr="00AE6CCA">
              <w:t> </w:t>
            </w:r>
            <w:r w:rsidRPr="00AE6CCA">
              <w:t>семей. Органами местного самоуправления Республики Татарстан совместно с Министерством ведется работа по организации процесса предоставления земельных участков многодетным гражданам. В результате более 47,4 тысячи многодетных семей получили в собственность земельные участки</w:t>
            </w:r>
            <w:r w:rsidR="0013530C" w:rsidRPr="00AE6CCA">
              <w:t>.</w:t>
            </w:r>
          </w:p>
          <w:p w:rsidR="0085042E" w:rsidRPr="00AE6CCA" w:rsidRDefault="0085042E" w:rsidP="00020DD1">
            <w:pPr>
              <w:jc w:val="both"/>
            </w:pPr>
            <w:r w:rsidRPr="00AE6CCA">
              <w:t xml:space="preserve">При этом </w:t>
            </w:r>
            <w:r w:rsidR="0036461E" w:rsidRPr="00AE6CCA">
              <w:t xml:space="preserve">показатель «Доля многодетных семей, получивших бесплатно земельные участки, в общем числе многодетных семей, вставших на учет для бесплатного предоставления земельных участков на начало отчетного года, процентов» выполнен </w:t>
            </w:r>
            <w:r w:rsidR="0036461E" w:rsidRPr="00AE6CCA">
              <w:lastRenderedPageBreak/>
              <w:t xml:space="preserve">на </w:t>
            </w:r>
            <w:r w:rsidR="00020DD1" w:rsidRPr="00AE6CCA">
              <w:t>66,53</w:t>
            </w:r>
            <w:r w:rsidR="0036461E" w:rsidRPr="00AE6CCA">
              <w:t>% (плановое значение показателя на 20</w:t>
            </w:r>
            <w:r w:rsidR="00AF2884" w:rsidRPr="00AE6CCA">
              <w:t>2</w:t>
            </w:r>
            <w:r w:rsidR="00020DD1" w:rsidRPr="00AE6CCA">
              <w:t>3 </w:t>
            </w:r>
            <w:r w:rsidR="0036461E" w:rsidRPr="00AE6CCA">
              <w:t xml:space="preserve">год, установленное </w:t>
            </w:r>
            <w:r w:rsidR="00020DD1" w:rsidRPr="00AE6CCA">
              <w:t>постановлением Кабинета Министров Республики, Татарстан от 31.03.2023 № 385 «Об утверждении Индикаторов оценки эффективности деятельности республиканских органов государственной власти, отдельных государственных учреждений Республики Татарстан и качества жизни населения на 2023 – 2025 годы»</w:t>
            </w:r>
            <w:r w:rsidR="0036461E" w:rsidRPr="00AE6CCA">
              <w:t xml:space="preserve">, составляет </w:t>
            </w:r>
            <w:r w:rsidR="00AF2884" w:rsidRPr="00AE6CCA">
              <w:t>6</w:t>
            </w:r>
            <w:r w:rsidR="00020DD1" w:rsidRPr="00AE6CCA">
              <w:t>6,5</w:t>
            </w:r>
            <w:r w:rsidR="0036461E" w:rsidRPr="00AE6CCA">
              <w:t>%)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F83295">
            <w:pPr>
              <w:jc w:val="center"/>
            </w:pPr>
            <w:r w:rsidRPr="00AE6CCA">
              <w:lastRenderedPageBreak/>
              <w:t xml:space="preserve">9. Обеспечение эффективного </w:t>
            </w:r>
            <w:proofErr w:type="spellStart"/>
            <w:r w:rsidRPr="00AE6CCA">
              <w:t>использова</w:t>
            </w:r>
            <w:r w:rsidR="00EF1AA1" w:rsidRPr="00AE6CCA">
              <w:t>-</w:t>
            </w:r>
            <w:r w:rsidRPr="00AE6CCA">
              <w:t>ния</w:t>
            </w:r>
            <w:proofErr w:type="spellEnd"/>
            <w:r w:rsidRPr="00AE6CCA">
              <w:t xml:space="preserve"> имущества, закреплен</w:t>
            </w:r>
            <w:r w:rsidR="00EF1AA1" w:rsidRPr="00AE6CCA">
              <w:t>-</w:t>
            </w:r>
            <w:proofErr w:type="spellStart"/>
            <w:r w:rsidRPr="00AE6CCA">
              <w:t>ного</w:t>
            </w:r>
            <w:proofErr w:type="spellEnd"/>
            <w:r w:rsidRPr="00AE6CCA">
              <w:t xml:space="preserve"> за </w:t>
            </w:r>
            <w:proofErr w:type="spellStart"/>
            <w:r w:rsidRPr="00AE6CCA">
              <w:t>государ</w:t>
            </w:r>
            <w:r w:rsidR="00DD4C7E" w:rsidRPr="00AE6CCA">
              <w:t>-</w:t>
            </w:r>
            <w:r w:rsidRPr="00AE6CCA">
              <w:t>ственными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муниципаль</w:t>
            </w:r>
            <w:r w:rsidR="00DD4C7E" w:rsidRPr="00AE6CCA">
              <w:t>-</w:t>
            </w:r>
            <w:r w:rsidRPr="00AE6CCA">
              <w:t>ными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учреждени</w:t>
            </w:r>
            <w:r w:rsidR="00EF1AA1" w:rsidRPr="00AE6CCA">
              <w:t>-</w:t>
            </w:r>
            <w:r w:rsidRPr="00AE6CCA">
              <w:t>ями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DD3DAE">
            <w:pPr>
              <w:jc w:val="center"/>
            </w:pPr>
            <w:r w:rsidRPr="00AE6CCA">
              <w:t xml:space="preserve">9.1. Осуществление проверок использования </w:t>
            </w:r>
            <w:proofErr w:type="spellStart"/>
            <w:r w:rsidRPr="00AE6CCA">
              <w:t>государствен</w:t>
            </w:r>
            <w:r w:rsidR="00F83295" w:rsidRPr="00AE6CCA">
              <w:t>-</w:t>
            </w:r>
            <w:r w:rsidRPr="00AE6CCA">
              <w:t>ными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ными</w:t>
            </w:r>
            <w:proofErr w:type="spellEnd"/>
            <w:r w:rsidRPr="00AE6CCA">
              <w:t xml:space="preserve"> учреждениями имущества и земельных участков, проведение мероприятий по </w:t>
            </w:r>
            <w:proofErr w:type="spellStart"/>
            <w:r w:rsidRPr="00AE6CCA">
              <w:t>перераспреде</w:t>
            </w:r>
            <w:r w:rsidR="00DD3DAE" w:rsidRPr="00AE6CCA">
              <w:t>-</w:t>
            </w:r>
            <w:r w:rsidRPr="00AE6CCA">
              <w:t>лению</w:t>
            </w:r>
            <w:proofErr w:type="spellEnd"/>
            <w:r w:rsidRPr="00AE6CCA">
              <w:t xml:space="preserve"> неэффективно </w:t>
            </w:r>
            <w:r w:rsidRPr="00AE6CCA">
              <w:lastRenderedPageBreak/>
              <w:t>используемого имущества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463E4D">
            <w:pPr>
              <w:jc w:val="center"/>
            </w:pPr>
            <w:r w:rsidRPr="00AE6CCA">
              <w:lastRenderedPageBreak/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A85DE3" w:rsidRPr="00AE6CCA" w:rsidRDefault="00A85DE3" w:rsidP="008A68DC">
            <w:pPr>
              <w:jc w:val="center"/>
            </w:pPr>
            <w:r w:rsidRPr="00AE6CCA"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lastRenderedPageBreak/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DE3" w:rsidRPr="00AE6CCA" w:rsidRDefault="00A85DE3" w:rsidP="00E82DEE">
            <w:pPr>
              <w:jc w:val="center"/>
            </w:pPr>
            <w:r w:rsidRPr="00AE6CCA">
              <w:lastRenderedPageBreak/>
              <w:t>2016</w:t>
            </w:r>
            <w:r w:rsidR="002A0C56" w:rsidRPr="00AE6CCA">
              <w:t xml:space="preserve"> </w:t>
            </w:r>
            <w:r w:rsidRPr="00AE6CCA">
              <w:t>–</w:t>
            </w:r>
            <w:r w:rsidR="002A0C56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381" w:rsidRPr="00AE6CCA" w:rsidRDefault="00857A28" w:rsidP="000A59A9">
            <w:pPr>
              <w:jc w:val="both"/>
            </w:pPr>
            <w:r w:rsidRPr="00AE6CCA">
              <w:t>В 2023 году Министерством проведено 93 проверки использования государственного имущества, закрепленного на праве оперативного управления за учреждениями, и земельных участков, предоставленных учреждениям на праве постоянного (бессрочного) пользования.</w:t>
            </w:r>
          </w:p>
          <w:p w:rsidR="002A0C56" w:rsidRPr="00AE6CCA" w:rsidRDefault="002A0C56" w:rsidP="002A0C56">
            <w:pPr>
              <w:jc w:val="both"/>
            </w:pPr>
            <w:r w:rsidRPr="00AE6CCA">
              <w:t>Министерством выявлены следующие нарушения:</w:t>
            </w:r>
          </w:p>
          <w:p w:rsidR="00857A28" w:rsidRPr="00AE6CCA" w:rsidRDefault="00857A28" w:rsidP="00857A28">
            <w:pPr>
              <w:jc w:val="both"/>
            </w:pPr>
            <w:r w:rsidRPr="00AE6CCA">
              <w:t>2 учреждения передали помещения общей площадью 104,4</w:t>
            </w:r>
            <w:r w:rsidR="00886252" w:rsidRPr="00AE6CCA">
              <w:t> </w:t>
            </w:r>
            <w:r w:rsidRPr="00AE6CCA">
              <w:t>кв.</w:t>
            </w:r>
            <w:r w:rsidR="00886252" w:rsidRPr="00AE6CCA">
              <w:t> </w:t>
            </w:r>
            <w:r w:rsidRPr="00AE6CCA">
              <w:t>м в пользование сторонним организациям без оформления соответствующих договоров и согласия Министерства;</w:t>
            </w:r>
          </w:p>
          <w:p w:rsidR="00857A28" w:rsidRPr="00AE6CCA" w:rsidRDefault="00857A28" w:rsidP="00857A28">
            <w:pPr>
              <w:jc w:val="both"/>
            </w:pPr>
            <w:r w:rsidRPr="00AE6CCA">
              <w:t>у 11</w:t>
            </w:r>
            <w:r w:rsidR="00886252" w:rsidRPr="00AE6CCA">
              <w:t> </w:t>
            </w:r>
            <w:r w:rsidRPr="00AE6CCA">
              <w:t>учреждений отсутствует государственная регистрация права оперативного управления на 17</w:t>
            </w:r>
            <w:r w:rsidR="00886252" w:rsidRPr="00AE6CCA">
              <w:t> </w:t>
            </w:r>
            <w:r w:rsidRPr="00AE6CCA">
              <w:t>объектов недвижимости и государственная регистрация права постоянного (бессрочного) пользования на 6 земельных участков;</w:t>
            </w:r>
          </w:p>
          <w:p w:rsidR="00857A28" w:rsidRPr="00AE6CCA" w:rsidRDefault="00857A28" w:rsidP="00857A28">
            <w:pPr>
              <w:jc w:val="both"/>
            </w:pPr>
            <w:r w:rsidRPr="00AE6CCA">
              <w:t>не используется 29 объектов недвижимости общей площадью 13</w:t>
            </w:r>
            <w:r w:rsidR="00886252" w:rsidRPr="00AE6CCA">
              <w:t> </w:t>
            </w:r>
            <w:r w:rsidRPr="00AE6CCA">
              <w:t>695,7</w:t>
            </w:r>
            <w:r w:rsidR="00886252" w:rsidRPr="00AE6CCA">
              <w:t> </w:t>
            </w:r>
            <w:r w:rsidRPr="00AE6CCA">
              <w:t>кв.</w:t>
            </w:r>
            <w:r w:rsidR="00FC7D95" w:rsidRPr="00AE6CCA">
              <w:t> </w:t>
            </w:r>
            <w:r w:rsidRPr="00AE6CCA">
              <w:t>м, 8</w:t>
            </w:r>
            <w:r w:rsidR="00FC7D95" w:rsidRPr="00AE6CCA">
              <w:t> </w:t>
            </w:r>
            <w:r w:rsidRPr="00AE6CCA">
              <w:t>земельных участков общей площадью 137</w:t>
            </w:r>
            <w:r w:rsidR="00886252" w:rsidRPr="00AE6CCA">
              <w:t> </w:t>
            </w:r>
            <w:r w:rsidRPr="00AE6CCA">
              <w:t>га, 5</w:t>
            </w:r>
            <w:r w:rsidR="00886252" w:rsidRPr="00AE6CCA">
              <w:t> </w:t>
            </w:r>
            <w:r w:rsidRPr="00AE6CCA">
              <w:t>единиц движимого имущества, 39</w:t>
            </w:r>
            <w:r w:rsidR="00FC7D95" w:rsidRPr="00AE6CCA">
              <w:t> </w:t>
            </w:r>
            <w:r w:rsidRPr="00AE6CCA">
              <w:t>единиц автотранспортной (специальной) техники;</w:t>
            </w:r>
          </w:p>
          <w:p w:rsidR="00857A28" w:rsidRPr="00AE6CCA" w:rsidRDefault="00857A28" w:rsidP="00857A28">
            <w:pPr>
              <w:jc w:val="both"/>
            </w:pPr>
            <w:r w:rsidRPr="00AE6CCA">
              <w:t>у 11</w:t>
            </w:r>
            <w:r w:rsidR="00886252" w:rsidRPr="00AE6CCA">
              <w:t> </w:t>
            </w:r>
            <w:r w:rsidRPr="00AE6CCA">
              <w:t>учреждений предписанием об устранении нарушений законодательства о пожарной безопасности установлен срок устранения нарушения обязательных требований пожарной безопасности – 2023 год. На дату проведения проверки замечания не устранены (устранены частично);</w:t>
            </w:r>
          </w:p>
          <w:p w:rsidR="008C6381" w:rsidRPr="00AE6CCA" w:rsidRDefault="00857A28" w:rsidP="00857A28">
            <w:pPr>
              <w:jc w:val="both"/>
            </w:pPr>
            <w:r w:rsidRPr="00AE6CCA">
              <w:lastRenderedPageBreak/>
              <w:t>у 20 учреждений не списано неисправное государственное имущество (в соответствии с законодательством и порядком списания)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AA1" w:rsidRPr="00AE6CCA" w:rsidRDefault="00CE0BF7" w:rsidP="00A056FC">
            <w:pPr>
              <w:jc w:val="center"/>
            </w:pPr>
            <w:r w:rsidRPr="00AE6CCA">
              <w:lastRenderedPageBreak/>
              <w:t>10.</w:t>
            </w:r>
          </w:p>
          <w:p w:rsidR="00CE0BF7" w:rsidRPr="00AE6CCA" w:rsidRDefault="00A056FC" w:rsidP="00EF1AA1">
            <w:pPr>
              <w:jc w:val="center"/>
            </w:pPr>
            <w:r w:rsidRPr="00AE6CCA">
              <w:t>С</w:t>
            </w:r>
            <w:r w:rsidR="00CE0BF7" w:rsidRPr="00AE6CCA">
              <w:t>овершен</w:t>
            </w:r>
            <w:r w:rsidRPr="00AE6CCA">
              <w:t>-</w:t>
            </w:r>
            <w:proofErr w:type="spellStart"/>
            <w:r w:rsidR="00CE0BF7" w:rsidRPr="00AE6CCA">
              <w:t>ствование</w:t>
            </w:r>
            <w:proofErr w:type="spellEnd"/>
            <w:r w:rsidR="00CE0BF7" w:rsidRPr="00AE6CCA">
              <w:t xml:space="preserve"> системы контроля за деятель</w:t>
            </w:r>
            <w:r w:rsidR="00EF1AA1" w:rsidRPr="00AE6CCA">
              <w:t>-</w:t>
            </w:r>
            <w:proofErr w:type="spellStart"/>
            <w:r w:rsidR="00CE0BF7" w:rsidRPr="00AE6CCA">
              <w:t>ностью</w:t>
            </w:r>
            <w:proofErr w:type="spellEnd"/>
            <w:r w:rsidR="00CE0BF7" w:rsidRPr="00AE6CCA">
              <w:t xml:space="preserve"> </w:t>
            </w:r>
            <w:proofErr w:type="spellStart"/>
            <w:r w:rsidR="00CE0BF7" w:rsidRPr="00AE6CCA">
              <w:t>государствен</w:t>
            </w:r>
            <w:r w:rsidR="00B61722" w:rsidRPr="00AE6CCA">
              <w:t>-</w:t>
            </w:r>
            <w:r w:rsidR="00CE0BF7" w:rsidRPr="00AE6CCA">
              <w:t>ных</w:t>
            </w:r>
            <w:proofErr w:type="spellEnd"/>
            <w:r w:rsidR="00CE0BF7" w:rsidRPr="00AE6CCA">
              <w:t xml:space="preserve"> унитарных предприятий  и </w:t>
            </w:r>
            <w:proofErr w:type="spellStart"/>
            <w:r w:rsidR="00CE0BF7" w:rsidRPr="00AE6CCA">
              <w:t>муниципаль</w:t>
            </w:r>
            <w:r w:rsidR="00B61722" w:rsidRPr="00AE6CCA">
              <w:t>-</w:t>
            </w:r>
            <w:r w:rsidR="00CE0BF7" w:rsidRPr="00AE6CCA">
              <w:t>ных</w:t>
            </w:r>
            <w:proofErr w:type="spellEnd"/>
            <w:r w:rsidR="00CE0BF7" w:rsidRPr="00AE6CCA">
              <w:t xml:space="preserve"> унитарных предприятий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>10.3. Проведение регулярного мониторинга соблюдения руководителя</w:t>
            </w:r>
            <w:r w:rsidR="00DD3DAE" w:rsidRPr="00AE6CCA">
              <w:t>-</w:t>
            </w:r>
            <w:r w:rsidRPr="00AE6CCA">
              <w:t xml:space="preserve">ми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ограничений, установленных статьей 21 Федерального закона от 14.11.2002            № 161-ФЗ «О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предприятиях»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CE0BF7" w:rsidRPr="00AE6CCA" w:rsidRDefault="00CE0BF7" w:rsidP="008A68DC">
            <w:pPr>
              <w:jc w:val="center"/>
            </w:pPr>
            <w:r w:rsidRPr="00AE6CCA"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545D26">
            <w:pPr>
              <w:jc w:val="center"/>
            </w:pPr>
            <w:r w:rsidRPr="00AE6CCA"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AE6CCA" w:rsidRDefault="007452BE" w:rsidP="001E0F4C">
            <w:pPr>
              <w:jc w:val="both"/>
            </w:pPr>
            <w:r w:rsidRPr="00AE6CCA">
              <w:t>Мониторинг соблюдения руководителями государственных и муниципальных унитарных предприятий ограничений, установленных статьей 21 Федерального закона от 14.11.2002 № 161-ФЗ «О государственных и муниципальных унитарных предприятиях»</w:t>
            </w:r>
            <w:r w:rsidR="00F83295" w:rsidRPr="00AE6CCA">
              <w:t>,</w:t>
            </w:r>
            <w:r w:rsidRPr="00AE6CCA">
              <w:t xml:space="preserve"> проводится ежеквартально на основании данных Единого государственного реестра юридических лиц, а также программы Контур Фокус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 xml:space="preserve">10.4. Регулярное проведение </w:t>
            </w:r>
            <w:r w:rsidRPr="00AE6CCA">
              <w:lastRenderedPageBreak/>
              <w:t xml:space="preserve">выборочной проверки контрагентов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на предмет контроля заинтересован</w:t>
            </w:r>
            <w:r w:rsidR="00F83295" w:rsidRPr="00AE6CCA">
              <w:t>-</w:t>
            </w:r>
            <w:proofErr w:type="spellStart"/>
            <w:r w:rsidRPr="00AE6CCA">
              <w:t>ности</w:t>
            </w:r>
            <w:proofErr w:type="spellEnd"/>
            <w:r w:rsidRPr="00AE6CCA">
              <w:t xml:space="preserve"> в сделке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lastRenderedPageBreak/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lastRenderedPageBreak/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CE0BF7" w:rsidRPr="00AE6CCA" w:rsidRDefault="00CE0BF7" w:rsidP="008A68DC">
            <w:pPr>
              <w:jc w:val="center"/>
            </w:pPr>
            <w:r w:rsidRPr="00AE6CCA"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545D26">
            <w:pPr>
              <w:jc w:val="center"/>
            </w:pPr>
            <w:r w:rsidRPr="00AE6CCA">
              <w:lastRenderedPageBreak/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AE6CCA" w:rsidRDefault="007452BE" w:rsidP="00220408">
            <w:pPr>
              <w:jc w:val="both"/>
            </w:pPr>
            <w:r w:rsidRPr="00AE6CCA">
              <w:t xml:space="preserve">Ежеквартально Министерством осуществляется проведение проверок контрагентов государственных унитарных предприятий согласно представленным отчетам руководителей государственных унитарных предприятий. Также Министерством </w:t>
            </w:r>
            <w:r w:rsidRPr="00AE6CCA">
              <w:lastRenderedPageBreak/>
              <w:t>принят приказ от 12.04.2017 № 145-пр об утверждении положения о порядке сообщения руководителями государственных унитарных предприяти</w:t>
            </w:r>
            <w:r w:rsidR="00F83295" w:rsidRPr="00AE6CCA">
              <w:t>й</w:t>
            </w:r>
            <w:r w:rsidRPr="00AE6CCA">
              <w:t xml:space="preserve"> Республики Татарстан и руководителями акционерных обществ со 100-процентной долей Республики Татарстан в уставном капитале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положения о соответствующей комиссии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 xml:space="preserve">10.5. Регулярный пересмотр положений уставов для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в рамках </w:t>
            </w:r>
            <w:r w:rsidRPr="00AE6CCA">
              <w:lastRenderedPageBreak/>
              <w:t>меняющегося законодатель</w:t>
            </w:r>
            <w:r w:rsidR="00DD3DAE" w:rsidRPr="00AE6CCA">
              <w:t>-</w:t>
            </w:r>
            <w:proofErr w:type="spellStart"/>
            <w:r w:rsidRPr="00AE6CCA">
              <w:t>ства</w:t>
            </w:r>
            <w:proofErr w:type="spellEnd"/>
            <w:r w:rsidRPr="00AE6CCA">
              <w:t xml:space="preserve"> и задач, поставленных перед органами исполнитель</w:t>
            </w:r>
            <w:r w:rsidR="00DD3DAE" w:rsidRPr="00AE6CCA">
              <w:t>-</w:t>
            </w:r>
            <w:r w:rsidRPr="00AE6CCA">
              <w:t xml:space="preserve">ной власти в части контроля за деятельностью </w:t>
            </w:r>
            <w:proofErr w:type="spellStart"/>
            <w:r w:rsidRPr="00AE6CCA">
              <w:t>государствен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  и </w:t>
            </w:r>
            <w:proofErr w:type="spellStart"/>
            <w:r w:rsidRPr="00AE6CCA">
              <w:t>муниципаль</w:t>
            </w:r>
            <w:r w:rsidR="00DD3DAE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унитарных предприятий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lastRenderedPageBreak/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CE0BF7" w:rsidRPr="00AE6CCA" w:rsidRDefault="00CE0BF7" w:rsidP="008A68DC">
            <w:pPr>
              <w:jc w:val="center"/>
            </w:pPr>
            <w:r w:rsidRPr="00AE6CCA">
              <w:t>Палаты, Управления, Комитет</w:t>
            </w:r>
            <w:r w:rsidR="008A68DC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</w:t>
            </w:r>
            <w:r w:rsidRPr="00AE6CCA">
              <w:lastRenderedPageBreak/>
              <w:t xml:space="preserve">земельных отношений </w:t>
            </w:r>
            <w:proofErr w:type="spellStart"/>
            <w:r w:rsidRPr="00AE6CCA">
              <w:t>муниципаль</w:t>
            </w:r>
            <w:r w:rsidR="008A68DC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t>согласова</w:t>
            </w:r>
            <w:r w:rsidR="008A68DC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545D26">
            <w:pPr>
              <w:jc w:val="center"/>
            </w:pPr>
            <w:r w:rsidRPr="00AE6CCA">
              <w:lastRenderedPageBreak/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BB" w:rsidRPr="00AE6CCA" w:rsidRDefault="00894882" w:rsidP="00F90ECD">
            <w:pPr>
              <w:jc w:val="both"/>
            </w:pPr>
            <w:r w:rsidRPr="00894882">
              <w:t xml:space="preserve">В 2023 году вносились изменения в </w:t>
            </w:r>
            <w:r>
              <w:t>у</w:t>
            </w:r>
            <w:r w:rsidRPr="00894882">
              <w:t xml:space="preserve">ставы </w:t>
            </w:r>
            <w:r>
              <w:t xml:space="preserve">государственных унитарных предприятий Республики </w:t>
            </w:r>
            <w:r w:rsidR="00F90ECD">
              <w:t>Татарстан</w:t>
            </w:r>
            <w:r w:rsidRPr="00894882">
              <w:t xml:space="preserve"> </w:t>
            </w:r>
            <w:r>
              <w:t>«</w:t>
            </w:r>
            <w:r w:rsidRPr="00894882">
              <w:t>Центр информационных технологий Республики Татарстан</w:t>
            </w:r>
            <w:r>
              <w:t>»</w:t>
            </w:r>
            <w:r w:rsidRPr="00894882">
              <w:t xml:space="preserve">, </w:t>
            </w:r>
            <w:r w:rsidR="00C35313">
              <w:t>«</w:t>
            </w:r>
            <w:proofErr w:type="spellStart"/>
            <w:r w:rsidRPr="00894882">
              <w:t>Транссервис</w:t>
            </w:r>
            <w:proofErr w:type="spellEnd"/>
            <w:r w:rsidR="00C35313">
              <w:t>»</w:t>
            </w:r>
          </w:p>
        </w:tc>
      </w:tr>
      <w:tr w:rsidR="00AE6CCA" w:rsidRPr="00AE6CCA" w:rsidTr="00985241">
        <w:trPr>
          <w:trHeight w:val="1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>10.6. Регулярный контроль за согласованны</w:t>
            </w:r>
            <w:r w:rsidR="00DD3DAE" w:rsidRPr="00AE6CCA">
              <w:t>-</w:t>
            </w:r>
            <w:r w:rsidRPr="00AE6CCA">
              <w:t>ми сделками в части  исполнения установленных  обязательств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Татарстан,</w:t>
            </w:r>
          </w:p>
          <w:p w:rsidR="00CE0BF7" w:rsidRPr="00AE6CCA" w:rsidRDefault="00CE0BF7" w:rsidP="002C4DB6">
            <w:pPr>
              <w:jc w:val="center"/>
            </w:pPr>
            <w:r w:rsidRPr="00AE6CCA">
              <w:t>Палаты, Управления, Комитет</w:t>
            </w:r>
            <w:r w:rsidR="002C4DB6" w:rsidRPr="00AE6CCA">
              <w:t>ы</w:t>
            </w:r>
            <w:r w:rsidRPr="00AE6CCA">
              <w:t xml:space="preserve"> </w:t>
            </w:r>
            <w:proofErr w:type="spellStart"/>
            <w:r w:rsidRPr="00AE6CCA"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и земельных отношений </w:t>
            </w:r>
            <w:proofErr w:type="spellStart"/>
            <w:r w:rsidRPr="00AE6CCA">
              <w:lastRenderedPageBreak/>
              <w:t>муниципаль</w:t>
            </w:r>
            <w:r w:rsidR="002C4D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образований Республики Татарстан (по  </w:t>
            </w:r>
            <w:proofErr w:type="spellStart"/>
            <w:r w:rsidRPr="00AE6CCA">
              <w:t>согласова</w:t>
            </w:r>
            <w:r w:rsidR="002C4DB6" w:rsidRPr="00AE6CCA">
              <w:t>-</w:t>
            </w:r>
            <w:r w:rsidRPr="00AE6CCA">
              <w:t>нию</w:t>
            </w:r>
            <w:proofErr w:type="spellEnd"/>
            <w:r w:rsidRPr="00AE6CCA"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545D26">
            <w:pPr>
              <w:jc w:val="center"/>
            </w:pPr>
            <w:r w:rsidRPr="00AE6CCA">
              <w:lastRenderedPageBreak/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 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AE6CCA" w:rsidRDefault="007452BE" w:rsidP="007452BE">
            <w:pPr>
              <w:jc w:val="both"/>
            </w:pPr>
            <w:r w:rsidRPr="00AE6CCA">
              <w:t>Контроль и учет согласованных крупных сделок Министерством осуществляется согласно условиям и срокам, указанным в распоряжениях, исполнение которых отражается в реестре согласованных сделок</w:t>
            </w:r>
          </w:p>
        </w:tc>
      </w:tr>
      <w:tr w:rsidR="00AE6CCA" w:rsidRPr="00AE6CCA" w:rsidTr="00985241">
        <w:trPr>
          <w:trHeight w:val="177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E4" w:rsidRPr="00AE6CCA" w:rsidRDefault="00134536" w:rsidP="000E48E4">
            <w:pPr>
              <w:jc w:val="center"/>
            </w:pPr>
            <w:r w:rsidRPr="00AE6CCA">
              <w:t xml:space="preserve">11. </w:t>
            </w:r>
            <w:r w:rsidR="000E48E4" w:rsidRPr="00AE6CCA">
              <w:t>Реализация</w:t>
            </w:r>
          </w:p>
          <w:p w:rsidR="000E48E4" w:rsidRPr="00AE6CCA" w:rsidRDefault="000E48E4" w:rsidP="000E48E4">
            <w:pPr>
              <w:jc w:val="center"/>
            </w:pPr>
            <w:proofErr w:type="spellStart"/>
            <w:proofErr w:type="gramStart"/>
            <w:r w:rsidRPr="00AE6CCA">
              <w:t>государствен</w:t>
            </w:r>
            <w:proofErr w:type="spellEnd"/>
            <w:r w:rsidRPr="00AE6CCA">
              <w:t>-ной</w:t>
            </w:r>
            <w:proofErr w:type="gramEnd"/>
          </w:p>
          <w:p w:rsidR="000E48E4" w:rsidRPr="00AE6CCA" w:rsidRDefault="000E48E4" w:rsidP="000E48E4">
            <w:pPr>
              <w:jc w:val="center"/>
            </w:pPr>
            <w:r w:rsidRPr="00AE6CCA">
              <w:t xml:space="preserve">политики в </w:t>
            </w:r>
            <w:proofErr w:type="gramStart"/>
            <w:r w:rsidRPr="00AE6CCA">
              <w:t>хозяйствен</w:t>
            </w:r>
            <w:r w:rsidR="00EF1AA1" w:rsidRPr="00AE6CCA">
              <w:t>-</w:t>
            </w:r>
            <w:proofErr w:type="spellStart"/>
            <w:r w:rsidRPr="00AE6CCA">
              <w:t>ных</w:t>
            </w:r>
            <w:proofErr w:type="spellEnd"/>
            <w:proofErr w:type="gramEnd"/>
          </w:p>
          <w:p w:rsidR="000E48E4" w:rsidRPr="00AE6CCA" w:rsidRDefault="000E48E4" w:rsidP="000E48E4">
            <w:pPr>
              <w:jc w:val="center"/>
            </w:pPr>
            <w:r w:rsidRPr="00AE6CCA">
              <w:t>обществах с</w:t>
            </w:r>
          </w:p>
          <w:p w:rsidR="000E48E4" w:rsidRPr="00AE6CCA" w:rsidRDefault="000E48E4" w:rsidP="000E48E4">
            <w:pPr>
              <w:jc w:val="center"/>
            </w:pPr>
            <w:proofErr w:type="spellStart"/>
            <w:proofErr w:type="gramStart"/>
            <w:r w:rsidRPr="00AE6CCA">
              <w:t>государствен-ным</w:t>
            </w:r>
            <w:proofErr w:type="spellEnd"/>
            <w:proofErr w:type="gramEnd"/>
          </w:p>
          <w:p w:rsidR="000E48E4" w:rsidRPr="00AE6CCA" w:rsidRDefault="000E48E4" w:rsidP="000E48E4">
            <w:pPr>
              <w:jc w:val="center"/>
            </w:pPr>
            <w:r w:rsidRPr="00AE6CCA">
              <w:t>участием, управление</w:t>
            </w:r>
          </w:p>
          <w:p w:rsidR="00CE0BF7" w:rsidRPr="00AE6CCA" w:rsidRDefault="000E48E4" w:rsidP="000E48E4">
            <w:pPr>
              <w:jc w:val="center"/>
            </w:pPr>
            <w:r w:rsidRPr="00AE6CCA">
              <w:t>госпакетами акций</w:t>
            </w:r>
            <w:r w:rsidRPr="00AE6CCA">
              <w:cr/>
            </w:r>
          </w:p>
          <w:p w:rsidR="00CE0BF7" w:rsidRPr="00AE6CCA" w:rsidRDefault="00CE0BF7" w:rsidP="000E48E4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BF276E">
            <w:pPr>
              <w:jc w:val="center"/>
            </w:pPr>
            <w:r w:rsidRPr="00AE6CCA">
              <w:t xml:space="preserve">11.1. Организация деятельности представителей </w:t>
            </w:r>
            <w:r w:rsidR="00BF276E">
              <w:t xml:space="preserve">интересов государства </w:t>
            </w:r>
            <w:r w:rsidRPr="00AE6CCA">
              <w:t>в органах управления хозяйственных обществ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8C6381">
            <w:pPr>
              <w:jc w:val="center"/>
            </w:pPr>
            <w:r w:rsidRPr="00AE6CCA"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</w:t>
            </w:r>
          </w:p>
          <w:p w:rsidR="00CE0BF7" w:rsidRPr="00AE6CCA" w:rsidRDefault="00CE0BF7" w:rsidP="008C6381">
            <w:pPr>
              <w:jc w:val="center"/>
            </w:pPr>
            <w:r w:rsidRPr="00AE6CCA">
              <w:t>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78E" w:rsidRPr="00AE6CCA" w:rsidRDefault="0029678E" w:rsidP="0029678E">
            <w:pPr>
              <w:jc w:val="both"/>
            </w:pPr>
            <w:r w:rsidRPr="00AE6CCA">
              <w:t>В 202</w:t>
            </w:r>
            <w:r w:rsidR="00FC7D95" w:rsidRPr="00AE6CCA">
              <w:t>3</w:t>
            </w:r>
            <w:r w:rsidRPr="00AE6CCA">
              <w:t xml:space="preserve"> году в установленные законодательством сроки во все акционерные общества с долей государства направлены предложения о включении в повестку дня годовых общих собраний акционеров вопроса о выплате в денежной форме годовых дивидендов в размере 50</w:t>
            </w:r>
            <w:r w:rsidR="00CB362F" w:rsidRPr="00AE6CCA">
              <w:t> </w:t>
            </w:r>
            <w:r w:rsidRPr="00AE6CCA">
              <w:t>процентов от чистой прибыли общества по результатам 202</w:t>
            </w:r>
            <w:r w:rsidR="00FC7D95" w:rsidRPr="00AE6CCA">
              <w:t>2</w:t>
            </w:r>
            <w:r w:rsidR="00805174" w:rsidRPr="00AE6CCA">
              <w:t> </w:t>
            </w:r>
            <w:r w:rsidRPr="00AE6CCA">
              <w:t xml:space="preserve">года, а также предложения по кандидатурам </w:t>
            </w:r>
            <w:r w:rsidR="00E234E4" w:rsidRPr="00E234E4">
              <w:t>представител</w:t>
            </w:r>
            <w:r w:rsidR="00E234E4">
              <w:t>ей</w:t>
            </w:r>
            <w:r w:rsidR="00E234E4" w:rsidRPr="00E234E4">
              <w:t xml:space="preserve"> интересов государства</w:t>
            </w:r>
            <w:r w:rsidR="00E234E4">
              <w:t xml:space="preserve"> </w:t>
            </w:r>
            <w:r w:rsidRPr="00AE6CCA">
              <w:t>в органы управления и контроля акционерных обществ.</w:t>
            </w:r>
          </w:p>
          <w:p w:rsidR="0029678E" w:rsidRPr="00AE6CCA" w:rsidRDefault="0029678E" w:rsidP="0029678E">
            <w:pPr>
              <w:jc w:val="both"/>
            </w:pPr>
            <w:r w:rsidRPr="00AE6CCA">
              <w:t xml:space="preserve">Подготовлены и направлены </w:t>
            </w:r>
            <w:r w:rsidR="00E234E4" w:rsidRPr="00E234E4">
              <w:t>представител</w:t>
            </w:r>
            <w:r w:rsidR="00E234E4">
              <w:t>ям</w:t>
            </w:r>
            <w:r w:rsidR="00E234E4" w:rsidRPr="00E234E4">
              <w:t xml:space="preserve"> интересов государства</w:t>
            </w:r>
            <w:r w:rsidRPr="00AE6CCA">
              <w:t xml:space="preserve"> в органах управления акционерных обществ упреждающие директивы и инструктивные письма по порядку голосования или принятия ими решений по распределению прибыли (выплате дивидендов), а также при согласовании решений по сделкам с активами общества, изменению величины уставного капитала, а также реорганизации и ликвидации общества. </w:t>
            </w:r>
          </w:p>
          <w:p w:rsidR="0029678E" w:rsidRPr="00AE6CCA" w:rsidRDefault="0029678E" w:rsidP="0029678E">
            <w:pPr>
              <w:jc w:val="both"/>
            </w:pPr>
            <w:r w:rsidRPr="00AE6CCA">
              <w:t>Результатом проведенных мероприятий стало принятие 1</w:t>
            </w:r>
            <w:r w:rsidR="00FC7D95" w:rsidRPr="00AE6CCA">
              <w:t>6</w:t>
            </w:r>
            <w:r w:rsidR="00CB362F" w:rsidRPr="00AE6CCA">
              <w:t> </w:t>
            </w:r>
            <w:r w:rsidRPr="00AE6CCA">
              <w:t xml:space="preserve">хозяйственными обществами с долей Республики Татарстан в уставных капиталах решения о перечислении дивидендов в бюджет Республики Татарстан на общую сумму </w:t>
            </w:r>
            <w:r w:rsidR="00FC7D95" w:rsidRPr="00AE6CCA">
              <w:t>564,42</w:t>
            </w:r>
            <w:r w:rsidR="00220408" w:rsidRPr="00AE6CCA">
              <w:t> </w:t>
            </w:r>
            <w:r w:rsidRPr="00AE6CCA">
              <w:t>млн рублей.</w:t>
            </w:r>
            <w:r w:rsidR="008B6FFD" w:rsidRPr="00AE6CCA">
              <w:t xml:space="preserve"> На государственные пакеты акций, внесенные в уставный капитал АО «</w:t>
            </w:r>
            <w:proofErr w:type="spellStart"/>
            <w:r w:rsidR="008B6FFD" w:rsidRPr="00AE6CCA">
              <w:t>Связьинвестнефтехим</w:t>
            </w:r>
            <w:proofErr w:type="spellEnd"/>
            <w:r w:rsidR="008B6FFD" w:rsidRPr="00AE6CCA">
              <w:t>», перечислено дивидендов по итогам 2023</w:t>
            </w:r>
            <w:r w:rsidR="00FA5307">
              <w:t> </w:t>
            </w:r>
            <w:r w:rsidR="008B6FFD" w:rsidRPr="00AE6CCA">
              <w:t>года в сумме более 44 млрд рублей.</w:t>
            </w:r>
          </w:p>
          <w:p w:rsidR="0029678E" w:rsidRPr="00AE6CCA" w:rsidRDefault="0029678E" w:rsidP="0029678E">
            <w:pPr>
              <w:jc w:val="both"/>
            </w:pPr>
            <w:r w:rsidRPr="00AE6CCA">
              <w:t xml:space="preserve">Обеспечено участие представителей </w:t>
            </w:r>
            <w:r w:rsidR="00C64D7A">
              <w:t xml:space="preserve">интересов </w:t>
            </w:r>
            <w:r w:rsidRPr="00AE6CCA">
              <w:t xml:space="preserve">государства в </w:t>
            </w:r>
            <w:r w:rsidR="00017944" w:rsidRPr="00AE6CCA">
              <w:t>41</w:t>
            </w:r>
            <w:r w:rsidR="00985241" w:rsidRPr="00AE6CCA">
              <w:t> </w:t>
            </w:r>
            <w:r w:rsidRPr="00AE6CCA">
              <w:t>годов</w:t>
            </w:r>
            <w:r w:rsidR="00017944" w:rsidRPr="00AE6CCA">
              <w:t>ом</w:t>
            </w:r>
            <w:r w:rsidRPr="00AE6CCA">
              <w:t xml:space="preserve"> общ</w:t>
            </w:r>
            <w:r w:rsidR="00017944" w:rsidRPr="00AE6CCA">
              <w:t>ем</w:t>
            </w:r>
            <w:r w:rsidRPr="00AE6CCA">
              <w:t xml:space="preserve"> собрани</w:t>
            </w:r>
            <w:r w:rsidR="00017944" w:rsidRPr="00AE6CCA">
              <w:t>и</w:t>
            </w:r>
            <w:r w:rsidRPr="00AE6CCA">
              <w:t xml:space="preserve"> акционеров и </w:t>
            </w:r>
            <w:r w:rsidR="00017944" w:rsidRPr="00AE6CCA">
              <w:t>31 внеочередном общем собрании</w:t>
            </w:r>
            <w:r w:rsidRPr="00AE6CCA">
              <w:t xml:space="preserve"> акционеров.</w:t>
            </w:r>
          </w:p>
          <w:p w:rsidR="0029678E" w:rsidRPr="00AE6CCA" w:rsidRDefault="00017944" w:rsidP="0029678E">
            <w:pPr>
              <w:jc w:val="both"/>
            </w:pPr>
            <w:r w:rsidRPr="00AE6CCA">
              <w:t>Министерством как единственным акционером принято 39</w:t>
            </w:r>
            <w:r w:rsidR="00985241" w:rsidRPr="00AE6CCA">
              <w:t> </w:t>
            </w:r>
            <w:r w:rsidRPr="00AE6CCA">
              <w:t xml:space="preserve">распоряжений об утверждении решений, относящихся к компетенции общего собрания акционеров, в </w:t>
            </w:r>
            <w:r w:rsidRPr="00AE6CCA">
              <w:lastRenderedPageBreak/>
              <w:t>том числе 24 распоряжения – об утверждении решений, относящихся к компетенции годового общего собрания акционеров.</w:t>
            </w:r>
            <w:r w:rsidR="0029678E" w:rsidRPr="00AE6CCA">
              <w:t xml:space="preserve"> </w:t>
            </w:r>
          </w:p>
          <w:p w:rsidR="0029678E" w:rsidRPr="00AE6CCA" w:rsidRDefault="009F3B2D" w:rsidP="0029678E">
            <w:pPr>
              <w:jc w:val="both"/>
            </w:pPr>
            <w:r w:rsidRPr="00AE6CCA">
              <w:t>На 2023 – 2024 корпоративный год обеспечено назначение (избрание) на годовых общих собраниях 128</w:t>
            </w:r>
            <w:r w:rsidR="00985241" w:rsidRPr="00AE6CCA">
              <w:t> </w:t>
            </w:r>
            <w:r w:rsidRPr="00AE6CCA">
              <w:t>представителей интересов государства, 11</w:t>
            </w:r>
            <w:r w:rsidR="00985241" w:rsidRPr="00AE6CCA">
              <w:t> </w:t>
            </w:r>
            <w:r w:rsidRPr="00AE6CCA">
              <w:t>независимых директоров в органы управления и контроля 70 хозяйственных обществ.</w:t>
            </w:r>
          </w:p>
          <w:p w:rsidR="006025E1" w:rsidRPr="00AE6CCA" w:rsidRDefault="009F3B2D" w:rsidP="0029678E">
            <w:pPr>
              <w:jc w:val="both"/>
            </w:pPr>
            <w:r w:rsidRPr="00AE6CCA">
              <w:t>Проведена работа по формированию состава представителей интересов государства в органы управления и контроля хозяйственных обществ с долей Республики Татарстан в уставных капиталах на 2024 – 2025 корпоративный год.</w:t>
            </w:r>
            <w:r w:rsidR="0029678E" w:rsidRPr="00AE6CCA">
              <w:t xml:space="preserve"> </w:t>
            </w:r>
            <w:r w:rsidR="00D96FC3" w:rsidRPr="00AE6CCA">
              <w:t>Всего утверждено 123</w:t>
            </w:r>
            <w:r w:rsidR="00805174" w:rsidRPr="00AE6CCA">
              <w:t> </w:t>
            </w:r>
            <w:r w:rsidR="00D96FC3" w:rsidRPr="00AE6CCA">
              <w:t>кандидатуры представителей интересов государства и 10 кандидатур независимых директоров в 71 хозяйственное общество.</w:t>
            </w:r>
          </w:p>
          <w:p w:rsidR="00CB362F" w:rsidRPr="00AE6CCA" w:rsidRDefault="00CB362F" w:rsidP="00CB362F">
            <w:pPr>
              <w:jc w:val="both"/>
            </w:pPr>
            <w:r w:rsidRPr="00AE6CCA">
              <w:t xml:space="preserve">В целях обеспечения интересов Республики Татарстан при принятии органами управления акционерных обществ решений по вопросам управления обществом, одобрения сделок и распоряжения недвижимым имуществом </w:t>
            </w:r>
            <w:r w:rsidR="004B11CC" w:rsidRPr="00AE6CCA">
              <w:t>в 2023 году на основании обращений представителей интересов государства Министерством согласовано 168</w:t>
            </w:r>
            <w:r w:rsidR="00805174" w:rsidRPr="00AE6CCA">
              <w:t> </w:t>
            </w:r>
            <w:r w:rsidR="004B11CC" w:rsidRPr="00AE6CCA">
              <w:t>позиций по голосованию (в форме листов согласования и директив), что составляет порядка 400 вопросов, включенных в повестки дня заседаний советов директоров и общих собраний акционеров.</w:t>
            </w:r>
          </w:p>
          <w:p w:rsidR="00CB362F" w:rsidRPr="00AE6CCA" w:rsidRDefault="003728FB" w:rsidP="00FA5307">
            <w:pPr>
              <w:jc w:val="both"/>
            </w:pPr>
            <w:r w:rsidRPr="00AE6CCA">
              <w:t>Министерство осуществляет контроль за деятельностью представителей интересов государства в органах управления и контроля хозяйственных обществ путем сбора и анализа отчетов по форме, утвержденной постановлением Кабинета Министров Республики Татарстан от 26.09.2000 №</w:t>
            </w:r>
            <w:r w:rsidR="00FA5307">
              <w:t> </w:t>
            </w:r>
            <w:r w:rsidRPr="00AE6CCA">
              <w:t xml:space="preserve">691 (в редакции </w:t>
            </w:r>
            <w:r w:rsidR="00CB0CF4">
              <w:t xml:space="preserve">постановления Кабинета Министров Республики Татарстан </w:t>
            </w:r>
            <w:r w:rsidRPr="00AE6CCA">
              <w:t>от 08.11.2023</w:t>
            </w:r>
            <w:r w:rsidR="00CB0CF4">
              <w:t xml:space="preserve"> № 1441</w:t>
            </w:r>
            <w:r w:rsidRPr="00AE6CCA">
              <w:t>) «Об утверждении Порядка отчетности руководителей государственных унитарных предприятий, акционерных обществ со 100-процентной долей Республики Татарстан и представителей интересов государства в органах управления и контроля акционерных обществ». По итогам работы в 2022 – 2023 корпоративном году представителями интересов государства в органах управления и контроля хозяйственных обществ в Министерство представлено 75 отчетов</w:t>
            </w:r>
          </w:p>
        </w:tc>
      </w:tr>
      <w:tr w:rsidR="00AE6CCA" w:rsidRPr="00AE6CCA" w:rsidTr="00985241">
        <w:trPr>
          <w:trHeight w:val="177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C64D7A">
            <w:pPr>
              <w:jc w:val="center"/>
            </w:pPr>
            <w:r w:rsidRPr="00AE6CCA">
              <w:t>11.2. Обучение представителей</w:t>
            </w:r>
            <w:r w:rsidR="00C64D7A">
              <w:t xml:space="preserve"> </w:t>
            </w:r>
            <w:r w:rsidR="00C64D7A">
              <w:lastRenderedPageBreak/>
              <w:t>интересов государства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lastRenderedPageBreak/>
              <w:t xml:space="preserve">Министерство земельных и </w:t>
            </w:r>
            <w:proofErr w:type="spellStart"/>
            <w:r w:rsidRPr="00AE6CCA">
              <w:lastRenderedPageBreak/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lastRenderedPageBreak/>
              <w:t>2018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</w:t>
            </w:r>
          </w:p>
          <w:p w:rsidR="00CE0BF7" w:rsidRPr="00AE6CCA" w:rsidRDefault="00CE0BF7" w:rsidP="001D2083">
            <w:pPr>
              <w:jc w:val="center"/>
            </w:pPr>
            <w:r w:rsidRPr="00AE6CCA">
              <w:lastRenderedPageBreak/>
              <w:t>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F7" w:rsidRPr="00AE6CCA" w:rsidRDefault="00CE0BF7" w:rsidP="00545D26">
            <w:pPr>
              <w:jc w:val="both"/>
            </w:pPr>
            <w:r w:rsidRPr="00AE6CCA">
              <w:lastRenderedPageBreak/>
              <w:t>В 20</w:t>
            </w:r>
            <w:r w:rsidR="006025E1" w:rsidRPr="00AE6CCA">
              <w:t>2</w:t>
            </w:r>
            <w:r w:rsidR="003606BA" w:rsidRPr="00AE6CCA">
              <w:t>3</w:t>
            </w:r>
            <w:r w:rsidRPr="00AE6CCA">
              <w:t xml:space="preserve"> году обучение представителей </w:t>
            </w:r>
            <w:r w:rsidR="00C64D7A">
              <w:t xml:space="preserve">интересов государства </w:t>
            </w:r>
            <w:r w:rsidRPr="00AE6CCA">
              <w:t>не проводилось</w:t>
            </w:r>
          </w:p>
          <w:p w:rsidR="00CE0BF7" w:rsidRPr="00AE6CCA" w:rsidRDefault="00CE0BF7" w:rsidP="001D2083">
            <w:pPr>
              <w:jc w:val="center"/>
            </w:pP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 xml:space="preserve">11.3. </w:t>
            </w:r>
            <w:r w:rsidRPr="00D23C2B">
              <w:t xml:space="preserve">Завершение приватизации </w:t>
            </w:r>
            <w:proofErr w:type="spellStart"/>
            <w:r w:rsidRPr="00D23C2B">
              <w:t>государствен</w:t>
            </w:r>
            <w:r w:rsidR="00DD3DAE" w:rsidRPr="00D23C2B">
              <w:t>-</w:t>
            </w:r>
            <w:r w:rsidRPr="00D23C2B">
              <w:t>ных</w:t>
            </w:r>
            <w:proofErr w:type="spellEnd"/>
            <w:r w:rsidRPr="00D23C2B">
              <w:t xml:space="preserve"> пакетов акций, не имеющих </w:t>
            </w:r>
            <w:proofErr w:type="spellStart"/>
            <w:r w:rsidRPr="00D23C2B">
              <w:t>стратегиче</w:t>
            </w:r>
            <w:r w:rsidR="00DD3DAE" w:rsidRPr="00D23C2B">
              <w:t>-</w:t>
            </w:r>
            <w:r w:rsidRPr="00D23C2B">
              <w:t>ского</w:t>
            </w:r>
            <w:proofErr w:type="spellEnd"/>
            <w:r w:rsidRPr="00D23C2B">
              <w:t xml:space="preserve"> значения</w:t>
            </w:r>
            <w:r w:rsidRPr="00AE6CCA">
              <w:t xml:space="preserve"> для Республики Татарстан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r w:rsidRPr="00AE6CCA"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r w:rsidRPr="00AE6CCA">
              <w:t xml:space="preserve"> отношений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</w:t>
            </w:r>
          </w:p>
          <w:p w:rsidR="00CE0BF7" w:rsidRPr="00AE6CCA" w:rsidRDefault="00CE0BF7" w:rsidP="001D2083">
            <w:pPr>
              <w:jc w:val="center"/>
            </w:pPr>
            <w:r w:rsidRPr="00AE6CCA">
              <w:t>годы</w:t>
            </w: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B93" w:rsidRDefault="00733D0C" w:rsidP="00805174">
            <w:pPr>
              <w:jc w:val="both"/>
            </w:pPr>
            <w:r>
              <w:t xml:space="preserve">В 2023 году приватизированы государственные пакеты акций </w:t>
            </w:r>
            <w:r w:rsidR="004A4E00">
              <w:t>ПАО </w:t>
            </w:r>
            <w:r w:rsidR="00FD7186" w:rsidRPr="00FD7186">
              <w:t>«</w:t>
            </w:r>
            <w:proofErr w:type="spellStart"/>
            <w:r w:rsidR="00FD7186" w:rsidRPr="00FD7186">
              <w:t>Нижнекамскшина</w:t>
            </w:r>
            <w:proofErr w:type="spellEnd"/>
            <w:r w:rsidR="00FD7186" w:rsidRPr="00FD7186">
              <w:t>»</w:t>
            </w:r>
            <w:r w:rsidR="00554820">
              <w:t xml:space="preserve"> </w:t>
            </w:r>
            <w:r>
              <w:t xml:space="preserve">и </w:t>
            </w:r>
            <w:r w:rsidR="00D06115" w:rsidRPr="00D06115">
              <w:t xml:space="preserve">АО </w:t>
            </w:r>
            <w:r w:rsidR="00D06115">
              <w:t>«</w:t>
            </w:r>
            <w:proofErr w:type="spellStart"/>
            <w:r w:rsidR="00D06115">
              <w:t>Татфлот</w:t>
            </w:r>
            <w:proofErr w:type="spellEnd"/>
            <w:r w:rsidR="00D06115">
              <w:t>»</w:t>
            </w:r>
          </w:p>
          <w:p w:rsidR="00FD7186" w:rsidRPr="00AE6CCA" w:rsidRDefault="00FD7186" w:rsidP="00805174">
            <w:pPr>
              <w:jc w:val="both"/>
            </w:pP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 xml:space="preserve">12. Повышение </w:t>
            </w:r>
            <w:proofErr w:type="spellStart"/>
            <w:r w:rsidRPr="00AE6CCA">
              <w:t>эффектив</w:t>
            </w:r>
            <w:r w:rsidR="00EF1AA1" w:rsidRPr="00AE6CCA">
              <w:t>-</w:t>
            </w:r>
            <w:r w:rsidRPr="00AE6CCA">
              <w:t>ности</w:t>
            </w:r>
            <w:proofErr w:type="spellEnd"/>
            <w:r w:rsidRPr="00AE6CCA">
              <w:t xml:space="preserve"> </w:t>
            </w:r>
            <w:proofErr w:type="spellStart"/>
            <w:r w:rsidRPr="00AE6CCA">
              <w:t>использова</w:t>
            </w:r>
            <w:r w:rsidR="00EF1AA1" w:rsidRPr="00AE6CCA">
              <w:t>-</w:t>
            </w:r>
            <w:r w:rsidRPr="00AE6CCA">
              <w:t>ния</w:t>
            </w:r>
            <w:proofErr w:type="spellEnd"/>
            <w:r w:rsidRPr="00AE6CCA">
              <w:t xml:space="preserve"> объектов </w:t>
            </w:r>
            <w:proofErr w:type="spellStart"/>
            <w:r w:rsidRPr="00AE6CCA">
              <w:t>недвижи</w:t>
            </w:r>
            <w:proofErr w:type="spellEnd"/>
            <w:r w:rsidR="00EF1AA1" w:rsidRPr="00AE6CCA">
              <w:t>-</w:t>
            </w:r>
            <w:r w:rsidRPr="00AE6CCA">
              <w:t xml:space="preserve">мости, находящихся в </w:t>
            </w:r>
            <w:proofErr w:type="spellStart"/>
            <w:r w:rsidRPr="00AE6CCA">
              <w:t>государствен</w:t>
            </w:r>
            <w:proofErr w:type="spellEnd"/>
            <w:r w:rsidR="006E32D5" w:rsidRPr="00AE6CCA">
              <w:t>-</w:t>
            </w:r>
            <w:r w:rsidRPr="00AE6CCA">
              <w:t xml:space="preserve">ной </w:t>
            </w:r>
            <w:proofErr w:type="spellStart"/>
            <w:r w:rsidRPr="00AE6CCA">
              <w:t>собствен</w:t>
            </w:r>
            <w:r w:rsidR="006E32D5" w:rsidRPr="00AE6CCA">
              <w:t>-</w:t>
            </w:r>
            <w:r w:rsidRPr="00AE6CCA">
              <w:t>ности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34536">
            <w:pPr>
              <w:jc w:val="center"/>
            </w:pPr>
            <w:r w:rsidRPr="00AE6CCA">
              <w:t>12.1. Вовлечение объектов недвижимости в хозяйственный  оборот  с использованием механизмо</w:t>
            </w:r>
            <w:r w:rsidR="00134536" w:rsidRPr="00AE6CCA">
              <w:t>в</w:t>
            </w:r>
            <w:r w:rsidRPr="00AE6CCA">
              <w:t xml:space="preserve"> концессии  и </w:t>
            </w:r>
            <w:proofErr w:type="spellStart"/>
            <w:r w:rsidRPr="00AE6CCA">
              <w:t>государствен</w:t>
            </w:r>
            <w:proofErr w:type="spellEnd"/>
            <w:r w:rsidR="00DD3DAE" w:rsidRPr="00AE6CCA">
              <w:t>-</w:t>
            </w:r>
            <w:r w:rsidRPr="00AE6CCA">
              <w:t>но-частного партнерства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 xml:space="preserve">Министерство земельных и </w:t>
            </w:r>
            <w:proofErr w:type="spellStart"/>
            <w:proofErr w:type="gramStart"/>
            <w:r w:rsidRPr="00AE6CCA">
              <w:t>имуществен</w:t>
            </w:r>
            <w:r w:rsidR="002C4DB6" w:rsidRPr="00AE6CCA">
              <w:t>-</w:t>
            </w:r>
            <w:r w:rsidRPr="00AE6CCA">
              <w:t>ных</w:t>
            </w:r>
            <w:proofErr w:type="spellEnd"/>
            <w:proofErr w:type="gramEnd"/>
            <w:r w:rsidRPr="00AE6CCA">
              <w:t xml:space="preserve"> отношений Республики Татарстан</w:t>
            </w:r>
          </w:p>
          <w:p w:rsidR="00CE0BF7" w:rsidRPr="00AE6CCA" w:rsidRDefault="00CE0BF7" w:rsidP="001D2083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545D26">
            <w:pPr>
              <w:jc w:val="center"/>
            </w:pPr>
            <w:r w:rsidRPr="00AE6CCA">
              <w:t>2016</w:t>
            </w:r>
            <w:r w:rsidR="001978A1" w:rsidRPr="00AE6CCA">
              <w:t xml:space="preserve"> </w:t>
            </w:r>
            <w:r w:rsidRPr="00AE6CCA">
              <w:t>–</w:t>
            </w:r>
            <w:r w:rsidR="001978A1" w:rsidRPr="00AE6CCA">
              <w:t xml:space="preserve"> </w:t>
            </w:r>
            <w:r w:rsidRPr="00AE6CCA">
              <w:t>2030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B93" w:rsidRPr="00AE6CCA" w:rsidRDefault="00C7009B" w:rsidP="00C879D1">
            <w:pPr>
              <w:jc w:val="both"/>
            </w:pPr>
            <w:r w:rsidRPr="00C7009B">
              <w:t>В настоящее время в отношении государственного имущества действуют 8</w:t>
            </w:r>
            <w:r>
              <w:t> </w:t>
            </w:r>
            <w:r w:rsidRPr="00C7009B">
              <w:t xml:space="preserve">концессионных соглашений, по которым концедентом выступает Республика Татарстан в лице </w:t>
            </w:r>
            <w:r w:rsidR="00C879D1">
              <w:t>Министерства</w:t>
            </w:r>
            <w:r w:rsidRPr="00C7009B">
              <w:t>. В 2023 году концессионные соглашения не заключались</w:t>
            </w:r>
          </w:p>
        </w:tc>
      </w:tr>
      <w:tr w:rsidR="00AE6CCA" w:rsidRPr="00AE6CCA" w:rsidTr="000A1C39">
        <w:trPr>
          <w:trHeight w:val="177"/>
          <w:jc w:val="center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F7" w:rsidRPr="00AE6CCA" w:rsidRDefault="00CE0BF7" w:rsidP="00CE0BF7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>12.2. Подготовка предложений по использованию объектов недвижимости, не вовлеченных в хозяйственный оборот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E0BF7" w:rsidP="001D2083">
            <w:pPr>
              <w:jc w:val="center"/>
            </w:pPr>
            <w:r w:rsidRPr="00AE6CCA">
              <w:t>Отраслевые министерства Республики Татарстан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BF7" w:rsidRPr="00AE6CCA" w:rsidRDefault="00C31766" w:rsidP="001D2083">
            <w:pPr>
              <w:jc w:val="center"/>
            </w:pPr>
            <w:r w:rsidRPr="00AE6CCA">
              <w:t>2017</w:t>
            </w:r>
            <w:r w:rsidR="00134536" w:rsidRPr="00AE6CCA">
              <w:t xml:space="preserve"> </w:t>
            </w:r>
            <w:r w:rsidRPr="00AE6CCA">
              <w:t>–</w:t>
            </w:r>
            <w:r w:rsidR="00134536" w:rsidRPr="00AE6CCA">
              <w:t xml:space="preserve"> </w:t>
            </w:r>
            <w:r w:rsidRPr="00AE6CCA">
              <w:t>2030</w:t>
            </w:r>
          </w:p>
          <w:p w:rsidR="00CE0BF7" w:rsidRPr="00AE6CCA" w:rsidRDefault="00CE0BF7" w:rsidP="001D2083">
            <w:pPr>
              <w:jc w:val="center"/>
            </w:pPr>
            <w:r w:rsidRPr="00AE6CCA">
              <w:t>годы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0BB" w:rsidRPr="00AE6CCA" w:rsidRDefault="00C470BB" w:rsidP="00C470BB">
            <w:pPr>
              <w:jc w:val="both"/>
            </w:pPr>
            <w:r w:rsidRPr="00AE6CCA">
              <w:t xml:space="preserve">Постановлением Кабинета Министров Республики Татарстан от 12.03.2022 №225 утвержден Порядок проведения инвентаризации недвижимого имущества, находящегося в собственности Республики Татарстан, и его вовлечения в хозяйственный оборот (далее – Порядок). Порядок устанавливает общие требования к инвентаризации недвижимого имущества, находящегося в собственности Республики Татарстан. </w:t>
            </w:r>
          </w:p>
          <w:p w:rsidR="00C470BB" w:rsidRPr="00AE6CCA" w:rsidRDefault="00C470BB" w:rsidP="00C470BB">
            <w:pPr>
              <w:jc w:val="both"/>
            </w:pPr>
            <w:r w:rsidRPr="00AE6CCA">
              <w:t>Органам местного самоуправления Республики Татарстан рекомендовано руководствоваться Порядком, обобщать результаты инвентаризации муниципального имущества, утверждать перечень неиспользуемых объектов недвижимости, находящихся в собственности муниципальных образований, с указанием причин неиспользования, разделять на группы и направлять результаты инвентаризации в Министерство до 10 декабря отчетного года.</w:t>
            </w:r>
          </w:p>
          <w:p w:rsidR="000E48E4" w:rsidRPr="00AE6CCA" w:rsidRDefault="00C470BB" w:rsidP="00C470BB">
            <w:pPr>
              <w:jc w:val="both"/>
            </w:pPr>
            <w:r w:rsidRPr="00AE6CCA">
              <w:t>Инвентаризация неиспользуемых объектов недвижимости подразделяется на два вида:</w:t>
            </w:r>
          </w:p>
          <w:p w:rsidR="00C470BB" w:rsidRPr="00AE6CCA" w:rsidRDefault="00220408" w:rsidP="00C470BB">
            <w:pPr>
              <w:jc w:val="both"/>
            </w:pPr>
            <w:r w:rsidRPr="00AE6CCA">
              <w:t>1) </w:t>
            </w:r>
            <w:r w:rsidR="00C470BB" w:rsidRPr="00AE6CCA">
              <w:t>инвентаризация имущества казны Республики Татарстан;</w:t>
            </w:r>
          </w:p>
          <w:p w:rsidR="00C470BB" w:rsidRPr="00AE6CCA" w:rsidRDefault="00220408" w:rsidP="00C470BB">
            <w:pPr>
              <w:jc w:val="both"/>
            </w:pPr>
            <w:r w:rsidRPr="00AE6CCA">
              <w:t>2) </w:t>
            </w:r>
            <w:r w:rsidR="00C470BB" w:rsidRPr="00AE6CCA">
              <w:t>комплексная инвентаризация имущества – инвентаризация имущества, закрепленного на праве хозяйственного ведения за государственными предприятиями или на праве оперативного управления за исполнительными органами государственной власти Республики Татарстан и государственными учреждениями, проводимая на основании отдельных распорядительных документов Кабинета Министров Республики Татарстан, учредителей государственных учреждений, руководителей исполнительных органов государственной власти Республики Татарстан, государственных предприятий.</w:t>
            </w:r>
          </w:p>
          <w:p w:rsidR="00C470BB" w:rsidRPr="00AE6CCA" w:rsidRDefault="00C470BB" w:rsidP="00C470BB">
            <w:pPr>
              <w:jc w:val="both"/>
            </w:pPr>
            <w:r w:rsidRPr="00AE6CCA">
              <w:t>Периодичность представления Министерством сводной информации о результатах инвентаризации в Кабинет Министров Республики Татарстан – ежегодно, не позднее 30 января года, следующего за отчетным.</w:t>
            </w:r>
          </w:p>
          <w:p w:rsidR="000764B9" w:rsidRPr="00AE6CCA" w:rsidRDefault="000764B9" w:rsidP="000764B9">
            <w:pPr>
              <w:tabs>
                <w:tab w:val="left" w:pos="993"/>
                <w:tab w:val="left" w:pos="2926"/>
              </w:tabs>
              <w:spacing w:line="276" w:lineRule="auto"/>
              <w:ind w:firstLine="709"/>
              <w:jc w:val="both"/>
            </w:pPr>
            <w:r w:rsidRPr="00AE6CCA">
              <w:t xml:space="preserve">По итогам инвентаризации, проведенной в 2023 году, неиспользуемые объекты распределены по </w:t>
            </w:r>
            <w:r w:rsidRPr="00AE6CCA">
              <w:rPr>
                <w:lang w:eastAsia="x-none"/>
              </w:rPr>
              <w:t>4 группам в зависимости от технического состояния и пригодности к использованию</w:t>
            </w:r>
            <w:r w:rsidRPr="00AE6CCA">
              <w:t xml:space="preserve"> следующим образом:</w:t>
            </w:r>
          </w:p>
          <w:p w:rsidR="00AE6CCA" w:rsidRPr="00AE6CCA" w:rsidRDefault="00AE6CCA" w:rsidP="000764B9">
            <w:pPr>
              <w:tabs>
                <w:tab w:val="left" w:pos="993"/>
                <w:tab w:val="left" w:pos="2926"/>
              </w:tabs>
              <w:spacing w:line="276" w:lineRule="auto"/>
              <w:ind w:firstLine="709"/>
              <w:jc w:val="both"/>
            </w:pPr>
          </w:p>
          <w:p w:rsidR="001D5F9E" w:rsidRPr="00AE6CCA" w:rsidRDefault="001D5F9E" w:rsidP="000764B9">
            <w:pPr>
              <w:tabs>
                <w:tab w:val="left" w:pos="993"/>
                <w:tab w:val="left" w:pos="2926"/>
              </w:tabs>
              <w:spacing w:line="276" w:lineRule="auto"/>
              <w:ind w:firstLine="709"/>
              <w:jc w:val="both"/>
            </w:pPr>
          </w:p>
          <w:tbl>
            <w:tblPr>
              <w:tblW w:w="8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3119"/>
              <w:gridCol w:w="1276"/>
              <w:gridCol w:w="1134"/>
              <w:gridCol w:w="1275"/>
              <w:gridCol w:w="1418"/>
            </w:tblGrid>
            <w:tr w:rsidR="00AE6CCA" w:rsidRPr="00AE6CCA" w:rsidTr="009A4222">
              <w:tc>
                <w:tcPr>
                  <w:tcW w:w="455" w:type="dxa"/>
                  <w:vMerge w:val="restart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3119" w:type="dxa"/>
                  <w:vMerge w:val="restart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Группы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Собственность</w:t>
                  </w:r>
                </w:p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Республики Татарстан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Муниципальная</w:t>
                  </w:r>
                </w:p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собственность</w:t>
                  </w:r>
                </w:p>
              </w:tc>
            </w:tr>
            <w:tr w:rsidR="00AE6CCA" w:rsidRPr="00AE6CCA" w:rsidTr="009A4222">
              <w:tc>
                <w:tcPr>
                  <w:tcW w:w="455" w:type="dxa"/>
                  <w:vMerge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vMerge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количество объектов, единиц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общая площадь,</w:t>
                  </w:r>
                </w:p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E6CCA">
                    <w:rPr>
                      <w:b/>
                      <w:sz w:val="20"/>
                      <w:szCs w:val="20"/>
                    </w:rPr>
                    <w:t>кв.м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количество объектов, единиц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6CCA">
                    <w:rPr>
                      <w:b/>
                      <w:sz w:val="20"/>
                      <w:szCs w:val="20"/>
                    </w:rPr>
                    <w:t>общая площадь,</w:t>
                  </w:r>
                </w:p>
                <w:p w:rsidR="001D5F9E" w:rsidRPr="00AE6CCA" w:rsidRDefault="001D5F9E" w:rsidP="001D5F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E6CCA">
                    <w:rPr>
                      <w:b/>
                      <w:sz w:val="20"/>
                      <w:szCs w:val="20"/>
                    </w:rPr>
                    <w:t>кв.м</w:t>
                  </w:r>
                  <w:proofErr w:type="spellEnd"/>
                </w:p>
              </w:tc>
            </w:tr>
            <w:tr w:rsidR="00AE6CCA" w:rsidRPr="00AE6CCA" w:rsidTr="009A4222">
              <w:tc>
                <w:tcPr>
                  <w:tcW w:w="455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5F9E" w:rsidRPr="00AE6CCA" w:rsidRDefault="001D5F9E" w:rsidP="001D5F9E">
                  <w:pPr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Объекты незавершенного строительства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385,10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23 561,60</w:t>
                  </w:r>
                </w:p>
              </w:tc>
            </w:tr>
            <w:tr w:rsidR="00AE6CCA" w:rsidRPr="00AE6CCA" w:rsidTr="009A4222">
              <w:tc>
                <w:tcPr>
                  <w:tcW w:w="455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F9E" w:rsidRPr="00AE6CCA" w:rsidRDefault="001D5F9E" w:rsidP="001D5F9E">
                  <w:pPr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Незадействованные объекты, необходимые для развития отрасли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48 886,50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37 969,94</w:t>
                  </w:r>
                </w:p>
              </w:tc>
            </w:tr>
            <w:tr w:rsidR="003545E3" w:rsidRPr="00AE6CCA" w:rsidTr="003545E3">
              <w:tc>
                <w:tcPr>
                  <w:tcW w:w="45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AE6CCA" w:rsidRDefault="003545E3" w:rsidP="003545E3">
                  <w:pPr>
                    <w:ind w:left="964" w:hanging="964"/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45E3" w:rsidRPr="00AE6CCA" w:rsidRDefault="003545E3" w:rsidP="003545E3">
                  <w:pPr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Незадействованные объекты, пригодные для использования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sz w:val="20"/>
                      <w:szCs w:val="20"/>
                    </w:rPr>
                  </w:pPr>
                  <w:r w:rsidRPr="003545E3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sz w:val="20"/>
                      <w:szCs w:val="20"/>
                    </w:rPr>
                  </w:pPr>
                  <w:r w:rsidRPr="003545E3">
                    <w:rPr>
                      <w:sz w:val="20"/>
                      <w:szCs w:val="20"/>
                    </w:rPr>
                    <w:t>53 117,63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sz w:val="20"/>
                      <w:szCs w:val="20"/>
                    </w:rPr>
                  </w:pPr>
                  <w:r w:rsidRPr="003545E3">
                    <w:rPr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sz w:val="20"/>
                      <w:szCs w:val="20"/>
                    </w:rPr>
                  </w:pPr>
                  <w:r w:rsidRPr="003545E3">
                    <w:rPr>
                      <w:sz w:val="20"/>
                      <w:szCs w:val="20"/>
                    </w:rPr>
                    <w:t>173 735,76</w:t>
                  </w:r>
                </w:p>
              </w:tc>
            </w:tr>
            <w:tr w:rsidR="00AE6CCA" w:rsidRPr="00AE6CCA" w:rsidTr="003545E3">
              <w:tc>
                <w:tcPr>
                  <w:tcW w:w="455" w:type="dxa"/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D5F9E" w:rsidRPr="00AE6CCA" w:rsidRDefault="001D5F9E" w:rsidP="001D5F9E">
                  <w:pPr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Незадействованные объекты, находящиеся в аварийном состоянии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51 600,90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F9E" w:rsidRPr="00AE6CCA" w:rsidRDefault="001D5F9E" w:rsidP="001D5F9E">
                  <w:pPr>
                    <w:jc w:val="center"/>
                    <w:rPr>
                      <w:sz w:val="20"/>
                      <w:szCs w:val="20"/>
                    </w:rPr>
                  </w:pPr>
                  <w:r w:rsidRPr="00AE6CCA">
                    <w:rPr>
                      <w:sz w:val="20"/>
                      <w:szCs w:val="20"/>
                    </w:rPr>
                    <w:t>19 440,90</w:t>
                  </w:r>
                </w:p>
              </w:tc>
            </w:tr>
            <w:tr w:rsidR="003545E3" w:rsidRPr="00AE6CCA" w:rsidTr="006A7E7B">
              <w:tc>
                <w:tcPr>
                  <w:tcW w:w="35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rPr>
                      <w:b/>
                      <w:sz w:val="20"/>
                      <w:szCs w:val="20"/>
                    </w:rPr>
                  </w:pPr>
                  <w:r w:rsidRPr="003545E3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545E3">
                    <w:rPr>
                      <w:b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545E3">
                    <w:rPr>
                      <w:b/>
                      <w:sz w:val="20"/>
                      <w:szCs w:val="20"/>
                    </w:rPr>
                    <w:t>154 056,03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545E3">
                    <w:rPr>
                      <w:b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5E3" w:rsidRPr="003545E3" w:rsidRDefault="003545E3" w:rsidP="003545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545E3">
                    <w:rPr>
                      <w:b/>
                      <w:sz w:val="20"/>
                      <w:szCs w:val="20"/>
                    </w:rPr>
                    <w:t>254 708,2</w:t>
                  </w:r>
                </w:p>
              </w:tc>
            </w:tr>
          </w:tbl>
          <w:p w:rsidR="00220408" w:rsidRPr="00AE6CCA" w:rsidRDefault="00220408" w:rsidP="00C470BB">
            <w:pPr>
              <w:jc w:val="both"/>
            </w:pPr>
          </w:p>
        </w:tc>
      </w:tr>
    </w:tbl>
    <w:p w:rsidR="00212A70" w:rsidRPr="00AE6CCA" w:rsidRDefault="00212A70" w:rsidP="004625A4">
      <w:pPr>
        <w:spacing w:line="276" w:lineRule="auto"/>
        <w:rPr>
          <w:b/>
          <w:sz w:val="28"/>
          <w:szCs w:val="28"/>
        </w:rPr>
      </w:pPr>
    </w:p>
    <w:sectPr w:rsidR="00212A70" w:rsidRPr="00AE6CCA" w:rsidSect="004625A4">
      <w:pgSz w:w="16838" w:h="11906" w:orient="landscape"/>
      <w:pgMar w:top="1134" w:right="1134" w:bottom="709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F0" w:rsidRDefault="00237CF0" w:rsidP="00341377">
      <w:r>
        <w:separator/>
      </w:r>
    </w:p>
  </w:endnote>
  <w:endnote w:type="continuationSeparator" w:id="0">
    <w:p w:rsidR="00237CF0" w:rsidRDefault="00237CF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F0" w:rsidRDefault="00237CF0" w:rsidP="00341377">
      <w:r>
        <w:separator/>
      </w:r>
    </w:p>
  </w:footnote>
  <w:footnote w:type="continuationSeparator" w:id="0">
    <w:p w:rsidR="00237CF0" w:rsidRDefault="00237CF0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325111"/>
      <w:docPartObj>
        <w:docPartGallery w:val="Page Numbers (Top of Page)"/>
        <w:docPartUnique/>
      </w:docPartObj>
    </w:sdtPr>
    <w:sdtEndPr/>
    <w:sdtContent>
      <w:p w:rsidR="002F50ED" w:rsidRDefault="002F5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8B">
          <w:rPr>
            <w:noProof/>
          </w:rPr>
          <w:t>21</w:t>
        </w:r>
        <w:r>
          <w:fldChar w:fldCharType="end"/>
        </w:r>
      </w:p>
    </w:sdtContent>
  </w:sdt>
  <w:p w:rsidR="00870B87" w:rsidRDefault="00870B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29"/>
    <w:multiLevelType w:val="hybridMultilevel"/>
    <w:tmpl w:val="E440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897"/>
    <w:multiLevelType w:val="hybridMultilevel"/>
    <w:tmpl w:val="E89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7F3D"/>
    <w:multiLevelType w:val="hybridMultilevel"/>
    <w:tmpl w:val="EE92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2B27"/>
    <w:multiLevelType w:val="hybridMultilevel"/>
    <w:tmpl w:val="71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FC6120F"/>
    <w:multiLevelType w:val="hybridMultilevel"/>
    <w:tmpl w:val="8446F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55B2"/>
    <w:rsid w:val="000103E2"/>
    <w:rsid w:val="00010B56"/>
    <w:rsid w:val="00011D60"/>
    <w:rsid w:val="00013B32"/>
    <w:rsid w:val="00016DDA"/>
    <w:rsid w:val="00017280"/>
    <w:rsid w:val="00017944"/>
    <w:rsid w:val="00020DD1"/>
    <w:rsid w:val="00024607"/>
    <w:rsid w:val="00026395"/>
    <w:rsid w:val="0003049B"/>
    <w:rsid w:val="00030620"/>
    <w:rsid w:val="00031C1C"/>
    <w:rsid w:val="00035AEB"/>
    <w:rsid w:val="000368D3"/>
    <w:rsid w:val="000453C8"/>
    <w:rsid w:val="00046A14"/>
    <w:rsid w:val="00050C2A"/>
    <w:rsid w:val="00055D33"/>
    <w:rsid w:val="00055E5D"/>
    <w:rsid w:val="00056219"/>
    <w:rsid w:val="00066020"/>
    <w:rsid w:val="000725A0"/>
    <w:rsid w:val="000736B7"/>
    <w:rsid w:val="00075B31"/>
    <w:rsid w:val="000764B9"/>
    <w:rsid w:val="00084266"/>
    <w:rsid w:val="0008701D"/>
    <w:rsid w:val="00087B3D"/>
    <w:rsid w:val="000914B5"/>
    <w:rsid w:val="00096FD4"/>
    <w:rsid w:val="00097E30"/>
    <w:rsid w:val="000A19BB"/>
    <w:rsid w:val="000A1C39"/>
    <w:rsid w:val="000A540B"/>
    <w:rsid w:val="000A59A9"/>
    <w:rsid w:val="000A6D63"/>
    <w:rsid w:val="000B0BBF"/>
    <w:rsid w:val="000B2712"/>
    <w:rsid w:val="000C2B9A"/>
    <w:rsid w:val="000C49CC"/>
    <w:rsid w:val="000C5CDD"/>
    <w:rsid w:val="000D271A"/>
    <w:rsid w:val="000D5129"/>
    <w:rsid w:val="000D570C"/>
    <w:rsid w:val="000D5B58"/>
    <w:rsid w:val="000D620C"/>
    <w:rsid w:val="000D773A"/>
    <w:rsid w:val="000E1F16"/>
    <w:rsid w:val="000E48E4"/>
    <w:rsid w:val="000F0BAB"/>
    <w:rsid w:val="000F0D37"/>
    <w:rsid w:val="000F4226"/>
    <w:rsid w:val="000F5AEE"/>
    <w:rsid w:val="000F6AAC"/>
    <w:rsid w:val="000F7AAE"/>
    <w:rsid w:val="00100FD1"/>
    <w:rsid w:val="00103DC6"/>
    <w:rsid w:val="0010448C"/>
    <w:rsid w:val="00105149"/>
    <w:rsid w:val="00105451"/>
    <w:rsid w:val="0010583B"/>
    <w:rsid w:val="0010610B"/>
    <w:rsid w:val="001063B4"/>
    <w:rsid w:val="00107150"/>
    <w:rsid w:val="0011378E"/>
    <w:rsid w:val="001160CA"/>
    <w:rsid w:val="00117385"/>
    <w:rsid w:val="001218ED"/>
    <w:rsid w:val="00121E9D"/>
    <w:rsid w:val="00126806"/>
    <w:rsid w:val="00133ED7"/>
    <w:rsid w:val="00134536"/>
    <w:rsid w:val="00135069"/>
    <w:rsid w:val="0013530C"/>
    <w:rsid w:val="00136EED"/>
    <w:rsid w:val="001425FF"/>
    <w:rsid w:val="001471EA"/>
    <w:rsid w:val="00152393"/>
    <w:rsid w:val="00160668"/>
    <w:rsid w:val="001674E5"/>
    <w:rsid w:val="00167933"/>
    <w:rsid w:val="00167F00"/>
    <w:rsid w:val="001703EF"/>
    <w:rsid w:val="00173356"/>
    <w:rsid w:val="00173377"/>
    <w:rsid w:val="00175668"/>
    <w:rsid w:val="00177057"/>
    <w:rsid w:val="00177FB1"/>
    <w:rsid w:val="00180E58"/>
    <w:rsid w:val="00182E10"/>
    <w:rsid w:val="00196C19"/>
    <w:rsid w:val="0019755E"/>
    <w:rsid w:val="001978A1"/>
    <w:rsid w:val="001A1D41"/>
    <w:rsid w:val="001A28DF"/>
    <w:rsid w:val="001C10FC"/>
    <w:rsid w:val="001C19AB"/>
    <w:rsid w:val="001C242E"/>
    <w:rsid w:val="001C39D1"/>
    <w:rsid w:val="001C5393"/>
    <w:rsid w:val="001C6D94"/>
    <w:rsid w:val="001D1BA5"/>
    <w:rsid w:val="001D2083"/>
    <w:rsid w:val="001D2A9F"/>
    <w:rsid w:val="001D4026"/>
    <w:rsid w:val="001D53B0"/>
    <w:rsid w:val="001D5F9E"/>
    <w:rsid w:val="001E0F4C"/>
    <w:rsid w:val="001E5305"/>
    <w:rsid w:val="001F3AA2"/>
    <w:rsid w:val="001F43EF"/>
    <w:rsid w:val="001F4700"/>
    <w:rsid w:val="001F76F2"/>
    <w:rsid w:val="002000E2"/>
    <w:rsid w:val="002067B6"/>
    <w:rsid w:val="00212A70"/>
    <w:rsid w:val="00217596"/>
    <w:rsid w:val="00220408"/>
    <w:rsid w:val="00221C8F"/>
    <w:rsid w:val="002235FC"/>
    <w:rsid w:val="00224DB5"/>
    <w:rsid w:val="00225FA1"/>
    <w:rsid w:val="00233378"/>
    <w:rsid w:val="0023376B"/>
    <w:rsid w:val="00234D25"/>
    <w:rsid w:val="00234EC9"/>
    <w:rsid w:val="002379C6"/>
    <w:rsid w:val="00237CF0"/>
    <w:rsid w:val="00242BBA"/>
    <w:rsid w:val="00245F35"/>
    <w:rsid w:val="00245F3B"/>
    <w:rsid w:val="00253D68"/>
    <w:rsid w:val="002567F3"/>
    <w:rsid w:val="00256CB0"/>
    <w:rsid w:val="002652D7"/>
    <w:rsid w:val="00271627"/>
    <w:rsid w:val="00271EB7"/>
    <w:rsid w:val="00273E93"/>
    <w:rsid w:val="002755AA"/>
    <w:rsid w:val="00275662"/>
    <w:rsid w:val="002806AF"/>
    <w:rsid w:val="002813F4"/>
    <w:rsid w:val="0029678E"/>
    <w:rsid w:val="002A0C56"/>
    <w:rsid w:val="002A31F3"/>
    <w:rsid w:val="002A3969"/>
    <w:rsid w:val="002A5062"/>
    <w:rsid w:val="002B5A2F"/>
    <w:rsid w:val="002B6488"/>
    <w:rsid w:val="002C24CA"/>
    <w:rsid w:val="002C4DB6"/>
    <w:rsid w:val="002C7B26"/>
    <w:rsid w:val="002D2DC3"/>
    <w:rsid w:val="002D5A2C"/>
    <w:rsid w:val="002D76EC"/>
    <w:rsid w:val="002D7F5E"/>
    <w:rsid w:val="002E0893"/>
    <w:rsid w:val="002E173B"/>
    <w:rsid w:val="002E1FDB"/>
    <w:rsid w:val="002E4275"/>
    <w:rsid w:val="002E43F7"/>
    <w:rsid w:val="002E79E1"/>
    <w:rsid w:val="002F13E6"/>
    <w:rsid w:val="002F50ED"/>
    <w:rsid w:val="0030027E"/>
    <w:rsid w:val="00301B34"/>
    <w:rsid w:val="00301B8F"/>
    <w:rsid w:val="00311ED6"/>
    <w:rsid w:val="00312851"/>
    <w:rsid w:val="00312E56"/>
    <w:rsid w:val="00315416"/>
    <w:rsid w:val="003251B9"/>
    <w:rsid w:val="003255DB"/>
    <w:rsid w:val="00325CCE"/>
    <w:rsid w:val="003275BC"/>
    <w:rsid w:val="0033162B"/>
    <w:rsid w:val="00332E83"/>
    <w:rsid w:val="0033364A"/>
    <w:rsid w:val="00334599"/>
    <w:rsid w:val="00335EA5"/>
    <w:rsid w:val="003409C3"/>
    <w:rsid w:val="00341377"/>
    <w:rsid w:val="00342D9D"/>
    <w:rsid w:val="00343FF0"/>
    <w:rsid w:val="00344DA9"/>
    <w:rsid w:val="0035112F"/>
    <w:rsid w:val="00353296"/>
    <w:rsid w:val="003545E3"/>
    <w:rsid w:val="00356286"/>
    <w:rsid w:val="00357782"/>
    <w:rsid w:val="003603C6"/>
    <w:rsid w:val="003606BA"/>
    <w:rsid w:val="00362046"/>
    <w:rsid w:val="00362205"/>
    <w:rsid w:val="00362B26"/>
    <w:rsid w:val="003645B2"/>
    <w:rsid w:val="0036461E"/>
    <w:rsid w:val="00365759"/>
    <w:rsid w:val="00367CDA"/>
    <w:rsid w:val="00371E9A"/>
    <w:rsid w:val="003728FB"/>
    <w:rsid w:val="00385270"/>
    <w:rsid w:val="00387896"/>
    <w:rsid w:val="0039363E"/>
    <w:rsid w:val="00397F8B"/>
    <w:rsid w:val="003A2B8F"/>
    <w:rsid w:val="003A66F1"/>
    <w:rsid w:val="003A70DB"/>
    <w:rsid w:val="003B535E"/>
    <w:rsid w:val="003C31E9"/>
    <w:rsid w:val="003D1C91"/>
    <w:rsid w:val="003D2532"/>
    <w:rsid w:val="003D2D70"/>
    <w:rsid w:val="003D3030"/>
    <w:rsid w:val="003D6854"/>
    <w:rsid w:val="003D6B67"/>
    <w:rsid w:val="003E0B94"/>
    <w:rsid w:val="003E1AC8"/>
    <w:rsid w:val="003E64C9"/>
    <w:rsid w:val="003E67E3"/>
    <w:rsid w:val="003E69FD"/>
    <w:rsid w:val="003E7A47"/>
    <w:rsid w:val="003F5F47"/>
    <w:rsid w:val="003F7F1E"/>
    <w:rsid w:val="00400A41"/>
    <w:rsid w:val="00404142"/>
    <w:rsid w:val="0040626A"/>
    <w:rsid w:val="00407738"/>
    <w:rsid w:val="00412F77"/>
    <w:rsid w:val="00416060"/>
    <w:rsid w:val="00420DBF"/>
    <w:rsid w:val="00426E9C"/>
    <w:rsid w:val="00430DBB"/>
    <w:rsid w:val="0043207A"/>
    <w:rsid w:val="00433B6B"/>
    <w:rsid w:val="00433F59"/>
    <w:rsid w:val="00434FF3"/>
    <w:rsid w:val="00436341"/>
    <w:rsid w:val="00446A69"/>
    <w:rsid w:val="00452A3C"/>
    <w:rsid w:val="00453F98"/>
    <w:rsid w:val="00454ED6"/>
    <w:rsid w:val="004556A7"/>
    <w:rsid w:val="00460DBE"/>
    <w:rsid w:val="004625A4"/>
    <w:rsid w:val="00463E4D"/>
    <w:rsid w:val="00465C99"/>
    <w:rsid w:val="0046715D"/>
    <w:rsid w:val="00467352"/>
    <w:rsid w:val="00467368"/>
    <w:rsid w:val="00467C93"/>
    <w:rsid w:val="00467EF0"/>
    <w:rsid w:val="00470EE1"/>
    <w:rsid w:val="00472070"/>
    <w:rsid w:val="00475233"/>
    <w:rsid w:val="00483E15"/>
    <w:rsid w:val="0049023A"/>
    <w:rsid w:val="004A137C"/>
    <w:rsid w:val="004A160E"/>
    <w:rsid w:val="004A1E48"/>
    <w:rsid w:val="004A3698"/>
    <w:rsid w:val="004A3F1F"/>
    <w:rsid w:val="004A4E00"/>
    <w:rsid w:val="004A7CCF"/>
    <w:rsid w:val="004B0FF6"/>
    <w:rsid w:val="004B11CC"/>
    <w:rsid w:val="004B5A71"/>
    <w:rsid w:val="004B67D8"/>
    <w:rsid w:val="004C03B0"/>
    <w:rsid w:val="004C13F8"/>
    <w:rsid w:val="004C59B8"/>
    <w:rsid w:val="004D5599"/>
    <w:rsid w:val="004D55B5"/>
    <w:rsid w:val="004D594B"/>
    <w:rsid w:val="004E29A0"/>
    <w:rsid w:val="004E37DC"/>
    <w:rsid w:val="004F4D30"/>
    <w:rsid w:val="004F5E96"/>
    <w:rsid w:val="004F7267"/>
    <w:rsid w:val="00500CB8"/>
    <w:rsid w:val="005050DB"/>
    <w:rsid w:val="005077D9"/>
    <w:rsid w:val="00511713"/>
    <w:rsid w:val="005178B9"/>
    <w:rsid w:val="005216D0"/>
    <w:rsid w:val="00522038"/>
    <w:rsid w:val="00522296"/>
    <w:rsid w:val="005233D7"/>
    <w:rsid w:val="0052437B"/>
    <w:rsid w:val="00525390"/>
    <w:rsid w:val="005263EC"/>
    <w:rsid w:val="00527618"/>
    <w:rsid w:val="005318B6"/>
    <w:rsid w:val="00531B32"/>
    <w:rsid w:val="00534BC9"/>
    <w:rsid w:val="00536525"/>
    <w:rsid w:val="00537ECB"/>
    <w:rsid w:val="005401FA"/>
    <w:rsid w:val="00541023"/>
    <w:rsid w:val="00541273"/>
    <w:rsid w:val="00541B5B"/>
    <w:rsid w:val="00541DBE"/>
    <w:rsid w:val="00541F97"/>
    <w:rsid w:val="0054470F"/>
    <w:rsid w:val="00545D26"/>
    <w:rsid w:val="00546E66"/>
    <w:rsid w:val="00551653"/>
    <w:rsid w:val="00554820"/>
    <w:rsid w:val="00556885"/>
    <w:rsid w:val="00561236"/>
    <w:rsid w:val="00562829"/>
    <w:rsid w:val="0056672D"/>
    <w:rsid w:val="005709DB"/>
    <w:rsid w:val="00575D81"/>
    <w:rsid w:val="00584AAD"/>
    <w:rsid w:val="005866FF"/>
    <w:rsid w:val="0058681E"/>
    <w:rsid w:val="00595378"/>
    <w:rsid w:val="00596752"/>
    <w:rsid w:val="005A3ADD"/>
    <w:rsid w:val="005A484F"/>
    <w:rsid w:val="005A50B0"/>
    <w:rsid w:val="005B450B"/>
    <w:rsid w:val="005B6C9D"/>
    <w:rsid w:val="005C6003"/>
    <w:rsid w:val="005C63A6"/>
    <w:rsid w:val="005C795D"/>
    <w:rsid w:val="005D165B"/>
    <w:rsid w:val="005D338B"/>
    <w:rsid w:val="005D3FB0"/>
    <w:rsid w:val="005D4240"/>
    <w:rsid w:val="005D776D"/>
    <w:rsid w:val="005E1D2A"/>
    <w:rsid w:val="005E21C8"/>
    <w:rsid w:val="005F1334"/>
    <w:rsid w:val="005F2E9F"/>
    <w:rsid w:val="005F3F94"/>
    <w:rsid w:val="005F7BED"/>
    <w:rsid w:val="00600848"/>
    <w:rsid w:val="006025E1"/>
    <w:rsid w:val="00603369"/>
    <w:rsid w:val="00605CCD"/>
    <w:rsid w:val="00606E80"/>
    <w:rsid w:val="00607C02"/>
    <w:rsid w:val="00611468"/>
    <w:rsid w:val="006125EE"/>
    <w:rsid w:val="0061746D"/>
    <w:rsid w:val="00622001"/>
    <w:rsid w:val="00622B51"/>
    <w:rsid w:val="006249A1"/>
    <w:rsid w:val="00626BC2"/>
    <w:rsid w:val="00630FA5"/>
    <w:rsid w:val="006340B2"/>
    <w:rsid w:val="0063635D"/>
    <w:rsid w:val="0063674F"/>
    <w:rsid w:val="00637CBB"/>
    <w:rsid w:val="00640BDD"/>
    <w:rsid w:val="006412AB"/>
    <w:rsid w:val="006418F9"/>
    <w:rsid w:val="00643D66"/>
    <w:rsid w:val="006458B0"/>
    <w:rsid w:val="00652AA4"/>
    <w:rsid w:val="0065423A"/>
    <w:rsid w:val="0065484B"/>
    <w:rsid w:val="00656EBF"/>
    <w:rsid w:val="00672339"/>
    <w:rsid w:val="006750B3"/>
    <w:rsid w:val="00680E36"/>
    <w:rsid w:val="00695296"/>
    <w:rsid w:val="00696C2A"/>
    <w:rsid w:val="006A22DD"/>
    <w:rsid w:val="006A415A"/>
    <w:rsid w:val="006A4C00"/>
    <w:rsid w:val="006B446C"/>
    <w:rsid w:val="006B6296"/>
    <w:rsid w:val="006B7DB0"/>
    <w:rsid w:val="006B7F79"/>
    <w:rsid w:val="006C6AAD"/>
    <w:rsid w:val="006D17D9"/>
    <w:rsid w:val="006D6496"/>
    <w:rsid w:val="006E060E"/>
    <w:rsid w:val="006E0842"/>
    <w:rsid w:val="006E32D5"/>
    <w:rsid w:val="006E571C"/>
    <w:rsid w:val="006E58DE"/>
    <w:rsid w:val="006F37BC"/>
    <w:rsid w:val="006F49A6"/>
    <w:rsid w:val="007044E2"/>
    <w:rsid w:val="007060C9"/>
    <w:rsid w:val="007107F9"/>
    <w:rsid w:val="007120BE"/>
    <w:rsid w:val="007124D3"/>
    <w:rsid w:val="0071761A"/>
    <w:rsid w:val="0072009F"/>
    <w:rsid w:val="007318DE"/>
    <w:rsid w:val="0073246D"/>
    <w:rsid w:val="00733D0C"/>
    <w:rsid w:val="007452BE"/>
    <w:rsid w:val="00745733"/>
    <w:rsid w:val="00751AD6"/>
    <w:rsid w:val="00752709"/>
    <w:rsid w:val="00765C91"/>
    <w:rsid w:val="0077643E"/>
    <w:rsid w:val="00777ACF"/>
    <w:rsid w:val="00777B71"/>
    <w:rsid w:val="00777C66"/>
    <w:rsid w:val="0078247A"/>
    <w:rsid w:val="007829CF"/>
    <w:rsid w:val="00790D92"/>
    <w:rsid w:val="00791047"/>
    <w:rsid w:val="00792491"/>
    <w:rsid w:val="00792A00"/>
    <w:rsid w:val="00792B9A"/>
    <w:rsid w:val="00794613"/>
    <w:rsid w:val="007A0FFC"/>
    <w:rsid w:val="007A1CFB"/>
    <w:rsid w:val="007A237B"/>
    <w:rsid w:val="007A368B"/>
    <w:rsid w:val="007A5202"/>
    <w:rsid w:val="007A64B6"/>
    <w:rsid w:val="007A7A48"/>
    <w:rsid w:val="007A7C7D"/>
    <w:rsid w:val="007C1DA5"/>
    <w:rsid w:val="007C2051"/>
    <w:rsid w:val="007C464B"/>
    <w:rsid w:val="007C620D"/>
    <w:rsid w:val="007D32C0"/>
    <w:rsid w:val="007D44EC"/>
    <w:rsid w:val="007E41BC"/>
    <w:rsid w:val="007E4262"/>
    <w:rsid w:val="007E4F0D"/>
    <w:rsid w:val="007E5695"/>
    <w:rsid w:val="007F1B97"/>
    <w:rsid w:val="007F1FFC"/>
    <w:rsid w:val="007F58BC"/>
    <w:rsid w:val="007F639D"/>
    <w:rsid w:val="007F79F6"/>
    <w:rsid w:val="0080062D"/>
    <w:rsid w:val="00801307"/>
    <w:rsid w:val="00802AF4"/>
    <w:rsid w:val="00802F26"/>
    <w:rsid w:val="00802F2C"/>
    <w:rsid w:val="00803D76"/>
    <w:rsid w:val="008044A6"/>
    <w:rsid w:val="00805174"/>
    <w:rsid w:val="008071E4"/>
    <w:rsid w:val="00811BF2"/>
    <w:rsid w:val="00812D18"/>
    <w:rsid w:val="00813FD0"/>
    <w:rsid w:val="008306B3"/>
    <w:rsid w:val="008315B6"/>
    <w:rsid w:val="00840BD7"/>
    <w:rsid w:val="00842970"/>
    <w:rsid w:val="008464F1"/>
    <w:rsid w:val="008501A8"/>
    <w:rsid w:val="0085042E"/>
    <w:rsid w:val="0085490E"/>
    <w:rsid w:val="0085709F"/>
    <w:rsid w:val="00857486"/>
    <w:rsid w:val="00857A28"/>
    <w:rsid w:val="00870B87"/>
    <w:rsid w:val="00874D8D"/>
    <w:rsid w:val="0087689C"/>
    <w:rsid w:val="0087741A"/>
    <w:rsid w:val="008776D2"/>
    <w:rsid w:val="00877838"/>
    <w:rsid w:val="008819D5"/>
    <w:rsid w:val="00881E75"/>
    <w:rsid w:val="00882A29"/>
    <w:rsid w:val="00886252"/>
    <w:rsid w:val="00890633"/>
    <w:rsid w:val="00894698"/>
    <w:rsid w:val="00894882"/>
    <w:rsid w:val="00897CDB"/>
    <w:rsid w:val="008A22CB"/>
    <w:rsid w:val="008A42CC"/>
    <w:rsid w:val="008A68DC"/>
    <w:rsid w:val="008B5E62"/>
    <w:rsid w:val="008B6FFD"/>
    <w:rsid w:val="008C1467"/>
    <w:rsid w:val="008C480C"/>
    <w:rsid w:val="008C4E0A"/>
    <w:rsid w:val="008C6381"/>
    <w:rsid w:val="008C6DA6"/>
    <w:rsid w:val="008D002D"/>
    <w:rsid w:val="008D15AD"/>
    <w:rsid w:val="008D43FD"/>
    <w:rsid w:val="008D4E2E"/>
    <w:rsid w:val="008D6D1E"/>
    <w:rsid w:val="008E04CE"/>
    <w:rsid w:val="008E0855"/>
    <w:rsid w:val="008E20C4"/>
    <w:rsid w:val="008E7455"/>
    <w:rsid w:val="008E7854"/>
    <w:rsid w:val="008F2B80"/>
    <w:rsid w:val="00901A4B"/>
    <w:rsid w:val="00901F82"/>
    <w:rsid w:val="009021F7"/>
    <w:rsid w:val="009040AE"/>
    <w:rsid w:val="009069E7"/>
    <w:rsid w:val="00910A14"/>
    <w:rsid w:val="00910F7A"/>
    <w:rsid w:val="009117AF"/>
    <w:rsid w:val="00911CE6"/>
    <w:rsid w:val="00911FB2"/>
    <w:rsid w:val="00912BC6"/>
    <w:rsid w:val="00914AC5"/>
    <w:rsid w:val="009168D9"/>
    <w:rsid w:val="00916943"/>
    <w:rsid w:val="00921141"/>
    <w:rsid w:val="009255F0"/>
    <w:rsid w:val="009274B8"/>
    <w:rsid w:val="00932856"/>
    <w:rsid w:val="00932B4A"/>
    <w:rsid w:val="009331A3"/>
    <w:rsid w:val="00934856"/>
    <w:rsid w:val="009371E8"/>
    <w:rsid w:val="00940823"/>
    <w:rsid w:val="00940AD2"/>
    <w:rsid w:val="00945222"/>
    <w:rsid w:val="00946A7C"/>
    <w:rsid w:val="009529B1"/>
    <w:rsid w:val="0095417B"/>
    <w:rsid w:val="00955385"/>
    <w:rsid w:val="0095607B"/>
    <w:rsid w:val="00960094"/>
    <w:rsid w:val="00970B59"/>
    <w:rsid w:val="00971876"/>
    <w:rsid w:val="00971D3E"/>
    <w:rsid w:val="009772C4"/>
    <w:rsid w:val="00980257"/>
    <w:rsid w:val="00981CDD"/>
    <w:rsid w:val="0098271B"/>
    <w:rsid w:val="00983529"/>
    <w:rsid w:val="0098360E"/>
    <w:rsid w:val="00985241"/>
    <w:rsid w:val="00986E15"/>
    <w:rsid w:val="00987EB7"/>
    <w:rsid w:val="00990F27"/>
    <w:rsid w:val="00991783"/>
    <w:rsid w:val="009918BC"/>
    <w:rsid w:val="009934A3"/>
    <w:rsid w:val="00997F8A"/>
    <w:rsid w:val="009A1530"/>
    <w:rsid w:val="009A450F"/>
    <w:rsid w:val="009A4C0D"/>
    <w:rsid w:val="009A75E9"/>
    <w:rsid w:val="009B0DFB"/>
    <w:rsid w:val="009B0E22"/>
    <w:rsid w:val="009B3BBD"/>
    <w:rsid w:val="009B3F5E"/>
    <w:rsid w:val="009B4473"/>
    <w:rsid w:val="009B6A31"/>
    <w:rsid w:val="009C1E88"/>
    <w:rsid w:val="009C3DEB"/>
    <w:rsid w:val="009C4ADE"/>
    <w:rsid w:val="009C7590"/>
    <w:rsid w:val="009C786B"/>
    <w:rsid w:val="009C7C87"/>
    <w:rsid w:val="009D04A9"/>
    <w:rsid w:val="009D19AF"/>
    <w:rsid w:val="009D324A"/>
    <w:rsid w:val="009E14DC"/>
    <w:rsid w:val="009E1A8F"/>
    <w:rsid w:val="009E646F"/>
    <w:rsid w:val="009E7FE2"/>
    <w:rsid w:val="009F396E"/>
    <w:rsid w:val="009F3B2D"/>
    <w:rsid w:val="009F4890"/>
    <w:rsid w:val="009F4D94"/>
    <w:rsid w:val="009F5831"/>
    <w:rsid w:val="009F7FD5"/>
    <w:rsid w:val="00A02B14"/>
    <w:rsid w:val="00A03EFC"/>
    <w:rsid w:val="00A048A2"/>
    <w:rsid w:val="00A056FC"/>
    <w:rsid w:val="00A068FA"/>
    <w:rsid w:val="00A0757D"/>
    <w:rsid w:val="00A178D2"/>
    <w:rsid w:val="00A17F8C"/>
    <w:rsid w:val="00A22069"/>
    <w:rsid w:val="00A256C0"/>
    <w:rsid w:val="00A25FF8"/>
    <w:rsid w:val="00A2654F"/>
    <w:rsid w:val="00A271B6"/>
    <w:rsid w:val="00A3261D"/>
    <w:rsid w:val="00A41162"/>
    <w:rsid w:val="00A45385"/>
    <w:rsid w:val="00A507CC"/>
    <w:rsid w:val="00A5386C"/>
    <w:rsid w:val="00A62614"/>
    <w:rsid w:val="00A62D97"/>
    <w:rsid w:val="00A65B5F"/>
    <w:rsid w:val="00A70503"/>
    <w:rsid w:val="00A70F1F"/>
    <w:rsid w:val="00A75B6C"/>
    <w:rsid w:val="00A7697F"/>
    <w:rsid w:val="00A770FA"/>
    <w:rsid w:val="00A77EFD"/>
    <w:rsid w:val="00A801E0"/>
    <w:rsid w:val="00A80F39"/>
    <w:rsid w:val="00A84CE9"/>
    <w:rsid w:val="00A85DE3"/>
    <w:rsid w:val="00A862F4"/>
    <w:rsid w:val="00A9065C"/>
    <w:rsid w:val="00A90938"/>
    <w:rsid w:val="00A93B1D"/>
    <w:rsid w:val="00A96473"/>
    <w:rsid w:val="00AA290B"/>
    <w:rsid w:val="00AA3090"/>
    <w:rsid w:val="00AA54CA"/>
    <w:rsid w:val="00AB1454"/>
    <w:rsid w:val="00AB3483"/>
    <w:rsid w:val="00AB3CC9"/>
    <w:rsid w:val="00AB5254"/>
    <w:rsid w:val="00AC01C4"/>
    <w:rsid w:val="00AC2697"/>
    <w:rsid w:val="00AC66BA"/>
    <w:rsid w:val="00AD31F1"/>
    <w:rsid w:val="00AD4096"/>
    <w:rsid w:val="00AD6F83"/>
    <w:rsid w:val="00AE1885"/>
    <w:rsid w:val="00AE4C54"/>
    <w:rsid w:val="00AE5B36"/>
    <w:rsid w:val="00AE6CCA"/>
    <w:rsid w:val="00AF2884"/>
    <w:rsid w:val="00AF5BF4"/>
    <w:rsid w:val="00B05F5B"/>
    <w:rsid w:val="00B061E5"/>
    <w:rsid w:val="00B11EF5"/>
    <w:rsid w:val="00B125ED"/>
    <w:rsid w:val="00B12F74"/>
    <w:rsid w:val="00B174C2"/>
    <w:rsid w:val="00B2110C"/>
    <w:rsid w:val="00B2110E"/>
    <w:rsid w:val="00B24E26"/>
    <w:rsid w:val="00B3180B"/>
    <w:rsid w:val="00B44C0A"/>
    <w:rsid w:val="00B47399"/>
    <w:rsid w:val="00B52500"/>
    <w:rsid w:val="00B553AC"/>
    <w:rsid w:val="00B55C2F"/>
    <w:rsid w:val="00B56DA9"/>
    <w:rsid w:val="00B57BB6"/>
    <w:rsid w:val="00B61722"/>
    <w:rsid w:val="00B628CA"/>
    <w:rsid w:val="00B63AF0"/>
    <w:rsid w:val="00B70381"/>
    <w:rsid w:val="00B76825"/>
    <w:rsid w:val="00B91DA5"/>
    <w:rsid w:val="00B93FAD"/>
    <w:rsid w:val="00B9567C"/>
    <w:rsid w:val="00BA0EFF"/>
    <w:rsid w:val="00BA31A4"/>
    <w:rsid w:val="00BA5E71"/>
    <w:rsid w:val="00BA6CDD"/>
    <w:rsid w:val="00BA7D21"/>
    <w:rsid w:val="00BB7343"/>
    <w:rsid w:val="00BC032A"/>
    <w:rsid w:val="00BC1608"/>
    <w:rsid w:val="00BC214A"/>
    <w:rsid w:val="00BC349A"/>
    <w:rsid w:val="00BC7B75"/>
    <w:rsid w:val="00BD0A65"/>
    <w:rsid w:val="00BD26F1"/>
    <w:rsid w:val="00BD6551"/>
    <w:rsid w:val="00BD72F7"/>
    <w:rsid w:val="00BE6BAC"/>
    <w:rsid w:val="00BF1893"/>
    <w:rsid w:val="00BF1B1A"/>
    <w:rsid w:val="00BF276E"/>
    <w:rsid w:val="00BF392D"/>
    <w:rsid w:val="00C00E05"/>
    <w:rsid w:val="00C01687"/>
    <w:rsid w:val="00C03399"/>
    <w:rsid w:val="00C04EF1"/>
    <w:rsid w:val="00C07820"/>
    <w:rsid w:val="00C10BC1"/>
    <w:rsid w:val="00C125A6"/>
    <w:rsid w:val="00C15A2A"/>
    <w:rsid w:val="00C2129B"/>
    <w:rsid w:val="00C23247"/>
    <w:rsid w:val="00C2458E"/>
    <w:rsid w:val="00C30B05"/>
    <w:rsid w:val="00C31766"/>
    <w:rsid w:val="00C323C8"/>
    <w:rsid w:val="00C3317A"/>
    <w:rsid w:val="00C33D51"/>
    <w:rsid w:val="00C35313"/>
    <w:rsid w:val="00C411AD"/>
    <w:rsid w:val="00C4242C"/>
    <w:rsid w:val="00C42D2A"/>
    <w:rsid w:val="00C470BB"/>
    <w:rsid w:val="00C5348E"/>
    <w:rsid w:val="00C547B5"/>
    <w:rsid w:val="00C55D22"/>
    <w:rsid w:val="00C56C88"/>
    <w:rsid w:val="00C57AE6"/>
    <w:rsid w:val="00C57B00"/>
    <w:rsid w:val="00C618B2"/>
    <w:rsid w:val="00C61D95"/>
    <w:rsid w:val="00C6229F"/>
    <w:rsid w:val="00C64D7A"/>
    <w:rsid w:val="00C656EF"/>
    <w:rsid w:val="00C669FA"/>
    <w:rsid w:val="00C7009B"/>
    <w:rsid w:val="00C718D7"/>
    <w:rsid w:val="00C73B57"/>
    <w:rsid w:val="00C81523"/>
    <w:rsid w:val="00C81AE0"/>
    <w:rsid w:val="00C845C9"/>
    <w:rsid w:val="00C848AE"/>
    <w:rsid w:val="00C8610A"/>
    <w:rsid w:val="00C879D1"/>
    <w:rsid w:val="00C914B4"/>
    <w:rsid w:val="00C93228"/>
    <w:rsid w:val="00C965CA"/>
    <w:rsid w:val="00C965F5"/>
    <w:rsid w:val="00C975A5"/>
    <w:rsid w:val="00CA01FD"/>
    <w:rsid w:val="00CA4F2D"/>
    <w:rsid w:val="00CB0CF4"/>
    <w:rsid w:val="00CB2FC5"/>
    <w:rsid w:val="00CB362F"/>
    <w:rsid w:val="00CB7BCA"/>
    <w:rsid w:val="00CC3380"/>
    <w:rsid w:val="00CC494B"/>
    <w:rsid w:val="00CC5110"/>
    <w:rsid w:val="00CD190E"/>
    <w:rsid w:val="00CD1BF7"/>
    <w:rsid w:val="00CD323D"/>
    <w:rsid w:val="00CD39CA"/>
    <w:rsid w:val="00CD4206"/>
    <w:rsid w:val="00CD49FE"/>
    <w:rsid w:val="00CD5720"/>
    <w:rsid w:val="00CD5B5F"/>
    <w:rsid w:val="00CE060F"/>
    <w:rsid w:val="00CE0BF7"/>
    <w:rsid w:val="00CE4046"/>
    <w:rsid w:val="00CE425C"/>
    <w:rsid w:val="00CE50B7"/>
    <w:rsid w:val="00CE5331"/>
    <w:rsid w:val="00CE5A8F"/>
    <w:rsid w:val="00CE64F8"/>
    <w:rsid w:val="00CE72C1"/>
    <w:rsid w:val="00CF25B3"/>
    <w:rsid w:val="00CF5650"/>
    <w:rsid w:val="00CF60E3"/>
    <w:rsid w:val="00CF70FC"/>
    <w:rsid w:val="00CF7C37"/>
    <w:rsid w:val="00D01281"/>
    <w:rsid w:val="00D0224A"/>
    <w:rsid w:val="00D02819"/>
    <w:rsid w:val="00D02F16"/>
    <w:rsid w:val="00D04C2B"/>
    <w:rsid w:val="00D06115"/>
    <w:rsid w:val="00D121F8"/>
    <w:rsid w:val="00D15F0C"/>
    <w:rsid w:val="00D16711"/>
    <w:rsid w:val="00D20FE9"/>
    <w:rsid w:val="00D2266C"/>
    <w:rsid w:val="00D233FE"/>
    <w:rsid w:val="00D23C2B"/>
    <w:rsid w:val="00D24458"/>
    <w:rsid w:val="00D26B2D"/>
    <w:rsid w:val="00D3326D"/>
    <w:rsid w:val="00D36622"/>
    <w:rsid w:val="00D3682A"/>
    <w:rsid w:val="00D4080E"/>
    <w:rsid w:val="00D43664"/>
    <w:rsid w:val="00D467DD"/>
    <w:rsid w:val="00D525CA"/>
    <w:rsid w:val="00D533D2"/>
    <w:rsid w:val="00D546BB"/>
    <w:rsid w:val="00D63A1A"/>
    <w:rsid w:val="00D63BE7"/>
    <w:rsid w:val="00D646F1"/>
    <w:rsid w:val="00D7126A"/>
    <w:rsid w:val="00D76223"/>
    <w:rsid w:val="00D80763"/>
    <w:rsid w:val="00D8206B"/>
    <w:rsid w:val="00D84864"/>
    <w:rsid w:val="00D84953"/>
    <w:rsid w:val="00D87B77"/>
    <w:rsid w:val="00D933BB"/>
    <w:rsid w:val="00D94921"/>
    <w:rsid w:val="00D955CA"/>
    <w:rsid w:val="00D96BA6"/>
    <w:rsid w:val="00D96FC3"/>
    <w:rsid w:val="00D97E28"/>
    <w:rsid w:val="00DA12FB"/>
    <w:rsid w:val="00DA1CB2"/>
    <w:rsid w:val="00DA312A"/>
    <w:rsid w:val="00DB46D3"/>
    <w:rsid w:val="00DB5A97"/>
    <w:rsid w:val="00DC13AF"/>
    <w:rsid w:val="00DC472E"/>
    <w:rsid w:val="00DC4EF5"/>
    <w:rsid w:val="00DC7764"/>
    <w:rsid w:val="00DD2332"/>
    <w:rsid w:val="00DD3DAE"/>
    <w:rsid w:val="00DD4C7E"/>
    <w:rsid w:val="00DE100A"/>
    <w:rsid w:val="00DE2FBD"/>
    <w:rsid w:val="00DE4A92"/>
    <w:rsid w:val="00DE7B8C"/>
    <w:rsid w:val="00DF115D"/>
    <w:rsid w:val="00DF3311"/>
    <w:rsid w:val="00DF51A7"/>
    <w:rsid w:val="00E026E9"/>
    <w:rsid w:val="00E0524C"/>
    <w:rsid w:val="00E0720C"/>
    <w:rsid w:val="00E10AAD"/>
    <w:rsid w:val="00E12F8E"/>
    <w:rsid w:val="00E13815"/>
    <w:rsid w:val="00E15842"/>
    <w:rsid w:val="00E167B4"/>
    <w:rsid w:val="00E22114"/>
    <w:rsid w:val="00E22835"/>
    <w:rsid w:val="00E234E4"/>
    <w:rsid w:val="00E24A35"/>
    <w:rsid w:val="00E30B17"/>
    <w:rsid w:val="00E33FBA"/>
    <w:rsid w:val="00E37617"/>
    <w:rsid w:val="00E40696"/>
    <w:rsid w:val="00E423B4"/>
    <w:rsid w:val="00E4301D"/>
    <w:rsid w:val="00E44899"/>
    <w:rsid w:val="00E462FF"/>
    <w:rsid w:val="00E475CC"/>
    <w:rsid w:val="00E47BEA"/>
    <w:rsid w:val="00E52B27"/>
    <w:rsid w:val="00E530C8"/>
    <w:rsid w:val="00E5500D"/>
    <w:rsid w:val="00E56969"/>
    <w:rsid w:val="00E56A49"/>
    <w:rsid w:val="00E60962"/>
    <w:rsid w:val="00E65196"/>
    <w:rsid w:val="00E7018B"/>
    <w:rsid w:val="00E711EF"/>
    <w:rsid w:val="00E8053D"/>
    <w:rsid w:val="00E808AE"/>
    <w:rsid w:val="00E815C6"/>
    <w:rsid w:val="00E818EE"/>
    <w:rsid w:val="00E81D28"/>
    <w:rsid w:val="00E82A1A"/>
    <w:rsid w:val="00E82DEE"/>
    <w:rsid w:val="00E910F4"/>
    <w:rsid w:val="00E94DF5"/>
    <w:rsid w:val="00EA0B93"/>
    <w:rsid w:val="00EA48CC"/>
    <w:rsid w:val="00EB2958"/>
    <w:rsid w:val="00EC0ED5"/>
    <w:rsid w:val="00ED08C2"/>
    <w:rsid w:val="00ED4947"/>
    <w:rsid w:val="00ED7C7D"/>
    <w:rsid w:val="00EE1C9E"/>
    <w:rsid w:val="00EE2799"/>
    <w:rsid w:val="00EE7537"/>
    <w:rsid w:val="00EF1AA1"/>
    <w:rsid w:val="00EF321B"/>
    <w:rsid w:val="00EF3A04"/>
    <w:rsid w:val="00EF5574"/>
    <w:rsid w:val="00F003EC"/>
    <w:rsid w:val="00F02E22"/>
    <w:rsid w:val="00F06A20"/>
    <w:rsid w:val="00F06A62"/>
    <w:rsid w:val="00F10AC3"/>
    <w:rsid w:val="00F10B84"/>
    <w:rsid w:val="00F12784"/>
    <w:rsid w:val="00F13580"/>
    <w:rsid w:val="00F15988"/>
    <w:rsid w:val="00F2171B"/>
    <w:rsid w:val="00F23062"/>
    <w:rsid w:val="00F2338E"/>
    <w:rsid w:val="00F26D5B"/>
    <w:rsid w:val="00F27BBE"/>
    <w:rsid w:val="00F34780"/>
    <w:rsid w:val="00F35586"/>
    <w:rsid w:val="00F362E8"/>
    <w:rsid w:val="00F402D6"/>
    <w:rsid w:val="00F4162F"/>
    <w:rsid w:val="00F5617C"/>
    <w:rsid w:val="00F60992"/>
    <w:rsid w:val="00F638A4"/>
    <w:rsid w:val="00F65241"/>
    <w:rsid w:val="00F652C9"/>
    <w:rsid w:val="00F66911"/>
    <w:rsid w:val="00F7162A"/>
    <w:rsid w:val="00F71A65"/>
    <w:rsid w:val="00F720BC"/>
    <w:rsid w:val="00F731AC"/>
    <w:rsid w:val="00F73677"/>
    <w:rsid w:val="00F744AE"/>
    <w:rsid w:val="00F770B5"/>
    <w:rsid w:val="00F83295"/>
    <w:rsid w:val="00F851F1"/>
    <w:rsid w:val="00F860F3"/>
    <w:rsid w:val="00F90ECD"/>
    <w:rsid w:val="00F945EA"/>
    <w:rsid w:val="00FA05A7"/>
    <w:rsid w:val="00FA37C2"/>
    <w:rsid w:val="00FA3DE2"/>
    <w:rsid w:val="00FA425F"/>
    <w:rsid w:val="00FA5307"/>
    <w:rsid w:val="00FA6FDD"/>
    <w:rsid w:val="00FB4C2D"/>
    <w:rsid w:val="00FC48F0"/>
    <w:rsid w:val="00FC5D5F"/>
    <w:rsid w:val="00FC6E6B"/>
    <w:rsid w:val="00FC7D95"/>
    <w:rsid w:val="00FD3BEE"/>
    <w:rsid w:val="00FD5A81"/>
    <w:rsid w:val="00FD7186"/>
    <w:rsid w:val="00FD7B0C"/>
    <w:rsid w:val="00FD7CEE"/>
    <w:rsid w:val="00FE2716"/>
    <w:rsid w:val="00FE2C6B"/>
    <w:rsid w:val="00FE3FA0"/>
    <w:rsid w:val="00FE64C5"/>
    <w:rsid w:val="00FE65F9"/>
    <w:rsid w:val="00FE6F4A"/>
    <w:rsid w:val="00FF1224"/>
    <w:rsid w:val="00FF28D9"/>
    <w:rsid w:val="00FF444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9E99F"/>
  <w15:docId w15:val="{332E7D7C-F2F8-4BF6-9EFB-B563A98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4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117385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2E427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2E427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A7C7D"/>
  </w:style>
  <w:style w:type="paragraph" w:styleId="af2">
    <w:name w:val="footnote text"/>
    <w:basedOn w:val="a"/>
    <w:link w:val="af3"/>
    <w:semiHidden/>
    <w:unhideWhenUsed/>
    <w:rsid w:val="00A03EFC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3EFC"/>
  </w:style>
  <w:style w:type="character" w:styleId="af4">
    <w:name w:val="footnote reference"/>
    <w:basedOn w:val="a0"/>
    <w:semiHidden/>
    <w:unhideWhenUsed/>
    <w:rsid w:val="00A03EFC"/>
    <w:rPr>
      <w:vertAlign w:val="superscript"/>
    </w:rPr>
  </w:style>
  <w:style w:type="character" w:customStyle="1" w:styleId="20">
    <w:name w:val="Заголовок 2 Знак"/>
    <w:basedOn w:val="a0"/>
    <w:link w:val="2"/>
    <w:rsid w:val="00CC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9611-0E0A-42D5-971C-0A0E5386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7251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Дернова Татьяна Валентиновна</cp:lastModifiedBy>
  <cp:revision>95</cp:revision>
  <cp:lastPrinted>2019-04-29T10:23:00Z</cp:lastPrinted>
  <dcterms:created xsi:type="dcterms:W3CDTF">2024-04-22T11:08:00Z</dcterms:created>
  <dcterms:modified xsi:type="dcterms:W3CDTF">2024-04-25T06:21:00Z</dcterms:modified>
</cp:coreProperties>
</file>