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2A38" w:rsidRPr="00B11AE2" w:rsidRDefault="00162A38" w:rsidP="00162A3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56B5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нежилое здание, наименование: гараж на 10 автомашин, общей площадью 515,7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1, в том числе подземных – 0, кадастровый номер 16:04:010125:73, расположенное по адресу: Российская Федерация,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;</w:t>
            </w:r>
          </w:p>
          <w:p w:rsidR="00F32EFA" w:rsidRPr="00364CF5" w:rsidRDefault="00162A38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административное здание, площадью 1213,0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16:04:010125:66,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, ул.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Дорожная, д.39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162A38">
              <w:t>25 август</w:t>
            </w:r>
            <w:bookmarkStart w:id="2" w:name="_GoBack"/>
            <w:bookmarkEnd w:id="2"/>
            <w:r w:rsidR="00162A38">
              <w:t>а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162A3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162A38">
              <w:t>22 августа</w:t>
            </w:r>
            <w:r w:rsidR="002A345E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2A38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79C0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95A1-0863-4939-9577-5F49BD5F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59</cp:revision>
  <cp:lastPrinted>2012-06-15T10:20:00Z</cp:lastPrinted>
  <dcterms:created xsi:type="dcterms:W3CDTF">2012-06-13T06:12:00Z</dcterms:created>
  <dcterms:modified xsi:type="dcterms:W3CDTF">2025-08-22T10:11:00Z</dcterms:modified>
</cp:coreProperties>
</file>