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7B" w:rsidRDefault="00831B7B" w:rsidP="00016946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Проект</w:t>
      </w:r>
    </w:p>
    <w:p w:rsidR="00347784" w:rsidRDefault="00347784" w:rsidP="00347784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</w:p>
    <w:p w:rsidR="00347784" w:rsidRPr="00347784" w:rsidRDefault="00347784" w:rsidP="0034778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477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47784" w:rsidRPr="00347784" w:rsidRDefault="00347784" w:rsidP="0034778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477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47784" w:rsidRPr="00347784" w:rsidRDefault="00347784" w:rsidP="0034778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477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27 сентября по 2</w:t>
      </w:r>
      <w:r w:rsidRPr="003477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октября 2019 года включительно.</w:t>
      </w:r>
    </w:p>
    <w:p w:rsidR="00347784" w:rsidRPr="00347784" w:rsidRDefault="00347784" w:rsidP="00347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</w:t>
      </w:r>
      <w:r w:rsidR="00DC72F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ведущему консультанту отдела </w:t>
      </w:r>
      <w:r w:rsidR="00DC72FC" w:rsidRPr="00DC72F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эффективного использования государственных земель</w:t>
      </w:r>
      <w:r w:rsidR="00DC72F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, 221-40-61</w:t>
      </w:r>
      <w:r w:rsidRPr="0034778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hyperlink r:id="rId6" w:history="1">
        <w:r w:rsidR="00DC72FC" w:rsidRPr="00DC72FC">
          <w:rPr>
            <w:rFonts w:ascii="Times New Roman" w:hAnsi="Times New Roman" w:cs="Times New Roman"/>
            <w:i/>
            <w:color w:val="FF0000"/>
            <w:sz w:val="28"/>
            <w:szCs w:val="28"/>
            <w:u w:val="single"/>
          </w:rPr>
          <w:t>enzhe.ganeeva@tatar.ru</w:t>
        </w:r>
      </w:hyperlink>
    </w:p>
    <w:p w:rsidR="00347784" w:rsidRPr="00347784" w:rsidRDefault="00347784" w:rsidP="0034778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31B7B" w:rsidRPr="00C47E85" w:rsidRDefault="00831B7B" w:rsidP="00016946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7E85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831B7B" w:rsidRPr="00C47E85" w:rsidRDefault="00831B7B" w:rsidP="00016946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1B7B" w:rsidRPr="00C47E85" w:rsidRDefault="00831B7B" w:rsidP="00016946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7E8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31B7B" w:rsidRDefault="00831B7B" w:rsidP="00016946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264C" w:rsidRPr="00C47E85" w:rsidRDefault="006D264C" w:rsidP="00016946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1B7B" w:rsidRPr="00C47E85" w:rsidRDefault="00831B7B" w:rsidP="006D264C">
      <w:pPr>
        <w:pStyle w:val="ConsPlu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C47E85">
        <w:rPr>
          <w:rFonts w:ascii="Times New Roman" w:hAnsi="Times New Roman" w:cs="Times New Roman"/>
          <w:b w:val="0"/>
          <w:sz w:val="28"/>
          <w:szCs w:val="28"/>
        </w:rPr>
        <w:t xml:space="preserve">от __________ г.                                                                             </w:t>
      </w:r>
      <w:r w:rsidR="006D264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C47E85">
        <w:rPr>
          <w:rFonts w:ascii="Times New Roman" w:hAnsi="Times New Roman" w:cs="Times New Roman"/>
          <w:b w:val="0"/>
          <w:sz w:val="28"/>
          <w:szCs w:val="28"/>
        </w:rPr>
        <w:t>№ ___________</w:t>
      </w:r>
    </w:p>
    <w:p w:rsidR="00831B7B" w:rsidRDefault="00831B7B" w:rsidP="00016946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264C" w:rsidRDefault="006D264C" w:rsidP="00016946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3FCE" w:rsidRPr="00C47E85" w:rsidRDefault="00EF3FCE" w:rsidP="00016946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31B7B" w:rsidRPr="00C47E85" w:rsidTr="00FC21DD">
        <w:tc>
          <w:tcPr>
            <w:tcW w:w="4219" w:type="dxa"/>
          </w:tcPr>
          <w:p w:rsidR="00831B7B" w:rsidRPr="00C47E85" w:rsidRDefault="007370A9" w:rsidP="0001694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 w:rsidRPr="00C47E85">
              <w:rPr>
                <w:rFonts w:ascii="Times New Roman" w:hAnsi="Times New Roman" w:cs="Times New Roman"/>
                <w:color w:val="000000"/>
                <w:sz w:val="28"/>
              </w:rPr>
              <w:t>О внесении изменений в 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</w:t>
            </w:r>
            <w:r w:rsidR="00C9396A" w:rsidRPr="00C47E85">
              <w:rPr>
                <w:rFonts w:ascii="Times New Roman" w:hAnsi="Times New Roman" w:cs="Times New Roman"/>
                <w:color w:val="000000"/>
                <w:sz w:val="28"/>
              </w:rPr>
              <w:t>ое</w:t>
            </w:r>
            <w:r w:rsidRPr="00C47E85">
              <w:rPr>
                <w:rFonts w:ascii="Times New Roman" w:hAnsi="Times New Roman" w:cs="Times New Roman"/>
                <w:color w:val="000000"/>
                <w:sz w:val="28"/>
              </w:rPr>
              <w:t xml:space="preserve"> постановлением Кабинета Министров Республики Татарстан от 09.02.1995 № 74 «Об арендной плате за землю»</w:t>
            </w:r>
          </w:p>
        </w:tc>
        <w:tc>
          <w:tcPr>
            <w:tcW w:w="5352" w:type="dxa"/>
          </w:tcPr>
          <w:p w:rsidR="00831B7B" w:rsidRPr="00C47E85" w:rsidRDefault="00831B7B" w:rsidP="0001694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8"/>
              </w:rPr>
            </w:pPr>
          </w:p>
        </w:tc>
      </w:tr>
    </w:tbl>
    <w:p w:rsidR="007370A9" w:rsidRDefault="007370A9" w:rsidP="00B0269C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B7B" w:rsidRPr="00C47E85" w:rsidRDefault="00831B7B" w:rsidP="00B0269C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370A9" w:rsidRPr="00C47E85" w:rsidRDefault="007370A9" w:rsidP="00B026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утвержденное постановлением Кабинета Министров Республики Татарстан от 09.02.1995 </w:t>
      </w:r>
      <w:r w:rsidR="00C47E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>№ 74 «Об арендной плате за землю»</w:t>
      </w:r>
      <w:r w:rsidRPr="00C47E85">
        <w:t xml:space="preserve">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изменениями, внесенными </w:t>
      </w:r>
      <w:r w:rsidR="00B0269C" w:rsidRPr="00C47E8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остановлениями Кабинета Министров Республики Татарстан от 21.06.2000 </w:t>
      </w:r>
      <w:r w:rsidR="00C47E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№ 436, от 27.04.2006 № 211, от 15.06.2006 № 303, от 17.07.2006 № 366, </w:t>
      </w:r>
      <w:r w:rsidR="00C47E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от 25.07.2008 № 536, от 30.03.2009 № 192, от 25.05.2009 № 333, от 24.12.2009 </w:t>
      </w:r>
      <w:r w:rsidR="00C47E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№ 879, от 23.05.2011 № 404, от 21.12.2011 № 1027, от 06.02.2012 № 86, </w:t>
      </w:r>
      <w:r w:rsidR="00C47E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 17.07.2012</w:t>
      </w:r>
      <w:r w:rsidR="00C47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№ 605, от 20.12.2012 № 1110, от 31.05.2013 № 367, от 14.01.2017 </w:t>
      </w:r>
      <w:r w:rsidR="00C47E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>№ 7</w:t>
      </w:r>
      <w:r w:rsidR="00223195" w:rsidRPr="00C47E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47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195" w:rsidRPr="00C47E85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016946"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 13.09.2017 № 668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47E85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7E85">
        <w:rPr>
          <w:rFonts w:ascii="Times New Roman" w:hAnsi="Times New Roman" w:cs="Times New Roman"/>
          <w:color w:val="000000"/>
        </w:rPr>
        <w:t xml:space="preserve"> </w:t>
      </w:r>
      <w:r w:rsidRPr="00C47E8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56E33" w:rsidRPr="00C47E85" w:rsidRDefault="00156E33" w:rsidP="00B026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28E0" w:rsidRDefault="00016946" w:rsidP="000169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а</w:t>
      </w:r>
      <w:r w:rsidR="00E62C39" w:rsidRPr="00C47E85">
        <w:rPr>
          <w:rFonts w:ascii="Times New Roman" w:hAnsi="Times New Roman" w:cs="Times New Roman"/>
          <w:sz w:val="28"/>
          <w:szCs w:val="28"/>
        </w:rPr>
        <w:t>бзац</w:t>
      </w:r>
      <w:r w:rsidRPr="00C47E85">
        <w:rPr>
          <w:rFonts w:ascii="Times New Roman" w:hAnsi="Times New Roman" w:cs="Times New Roman"/>
          <w:sz w:val="28"/>
          <w:szCs w:val="28"/>
        </w:rPr>
        <w:t xml:space="preserve"> второй</w:t>
      </w:r>
      <w:r w:rsidR="00E62C39" w:rsidRPr="00C47E85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3E28E0" w:rsidRPr="00C47E85">
        <w:rPr>
          <w:rFonts w:ascii="Times New Roman" w:hAnsi="Times New Roman" w:cs="Times New Roman"/>
          <w:sz w:val="28"/>
          <w:szCs w:val="28"/>
        </w:rPr>
        <w:t>.1</w:t>
      </w:r>
      <w:r w:rsidR="00E62C39" w:rsidRPr="00C47E85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156E33" w:rsidRPr="00C47E85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E62C39" w:rsidRPr="00C47E85">
        <w:rPr>
          <w:rFonts w:ascii="Times New Roman" w:hAnsi="Times New Roman" w:cs="Times New Roman"/>
          <w:sz w:val="28"/>
          <w:szCs w:val="28"/>
        </w:rPr>
        <w:t>редакции</w:t>
      </w:r>
      <w:r w:rsidR="003E28E0" w:rsidRPr="00C47E85">
        <w:rPr>
          <w:rFonts w:ascii="Times New Roman" w:hAnsi="Times New Roman" w:cs="Times New Roman"/>
          <w:sz w:val="28"/>
          <w:szCs w:val="28"/>
        </w:rPr>
        <w:t>:</w:t>
      </w:r>
    </w:p>
    <w:p w:rsidR="00EF3FCE" w:rsidRDefault="00EF3FCE" w:rsidP="0001694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28E0" w:rsidRDefault="003E28E0" w:rsidP="00EF3FC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«Настоящее Положение</w:t>
      </w:r>
      <w:r w:rsidR="00156E33" w:rsidRPr="00C47E85">
        <w:rPr>
          <w:rFonts w:ascii="Times New Roman" w:hAnsi="Times New Roman" w:cs="Times New Roman"/>
          <w:sz w:val="28"/>
          <w:szCs w:val="28"/>
        </w:rPr>
        <w:t xml:space="preserve">, </w:t>
      </w:r>
      <w:r w:rsidR="00016946" w:rsidRPr="00C47E85">
        <w:rPr>
          <w:rFonts w:ascii="Times New Roman" w:hAnsi="Times New Roman" w:cs="Times New Roman"/>
          <w:sz w:val="28"/>
          <w:szCs w:val="28"/>
        </w:rPr>
        <w:t>за исключением</w:t>
      </w:r>
      <w:r w:rsidR="00156E33" w:rsidRPr="00C47E85">
        <w:rPr>
          <w:rFonts w:ascii="Times New Roman" w:hAnsi="Times New Roman" w:cs="Times New Roman"/>
          <w:sz w:val="28"/>
          <w:szCs w:val="28"/>
        </w:rPr>
        <w:t xml:space="preserve"> пункта 1.10, не</w:t>
      </w:r>
      <w:r w:rsidRPr="00C47E85">
        <w:rPr>
          <w:rFonts w:ascii="Times New Roman" w:hAnsi="Times New Roman" w:cs="Times New Roman"/>
          <w:sz w:val="28"/>
          <w:szCs w:val="28"/>
        </w:rPr>
        <w:t xml:space="preserve"> распространяется на случаи предоставления земельных участков в аренду </w:t>
      </w:r>
      <w:r w:rsidR="00156E33" w:rsidRPr="00C47E85">
        <w:rPr>
          <w:rFonts w:ascii="Times New Roman" w:hAnsi="Times New Roman" w:cs="Times New Roman"/>
          <w:sz w:val="28"/>
          <w:szCs w:val="28"/>
        </w:rPr>
        <w:t>на</w:t>
      </w:r>
      <w:r w:rsidRPr="00C47E85">
        <w:rPr>
          <w:rFonts w:ascii="Times New Roman" w:hAnsi="Times New Roman" w:cs="Times New Roman"/>
          <w:sz w:val="28"/>
          <w:szCs w:val="28"/>
        </w:rPr>
        <w:t xml:space="preserve"> торг</w:t>
      </w:r>
      <w:r w:rsidR="00156E33" w:rsidRPr="00C47E85">
        <w:rPr>
          <w:rFonts w:ascii="Times New Roman" w:hAnsi="Times New Roman" w:cs="Times New Roman"/>
          <w:sz w:val="28"/>
          <w:szCs w:val="28"/>
        </w:rPr>
        <w:t>ах»;</w:t>
      </w:r>
    </w:p>
    <w:p w:rsidR="006D264C" w:rsidRPr="00C47E85" w:rsidRDefault="006D264C" w:rsidP="00EF3FC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8E0" w:rsidRPr="00C47E85" w:rsidRDefault="003E28E0" w:rsidP="0001694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70A9" w:rsidRDefault="00016946" w:rsidP="00B0269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47E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7E85">
        <w:rPr>
          <w:rFonts w:ascii="Times New Roman" w:hAnsi="Times New Roman" w:cs="Times New Roman"/>
          <w:sz w:val="28"/>
          <w:szCs w:val="28"/>
        </w:rPr>
        <w:t xml:space="preserve"> </w:t>
      </w:r>
      <w:r w:rsidR="00156E33" w:rsidRPr="00C47E85">
        <w:rPr>
          <w:rFonts w:ascii="Times New Roman" w:hAnsi="Times New Roman" w:cs="Times New Roman"/>
          <w:sz w:val="28"/>
          <w:szCs w:val="28"/>
        </w:rPr>
        <w:t>д</w:t>
      </w:r>
      <w:r w:rsidR="007370A9" w:rsidRPr="00C47E85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A42331" w:rsidRPr="00C47E8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036634" w:rsidRPr="00C47E85">
        <w:rPr>
          <w:rFonts w:ascii="Times New Roman" w:hAnsi="Times New Roman" w:cs="Times New Roman"/>
          <w:sz w:val="28"/>
          <w:szCs w:val="28"/>
        </w:rPr>
        <w:t xml:space="preserve">1.6 – </w:t>
      </w:r>
      <w:r w:rsidR="00A660DD" w:rsidRPr="00C47E85">
        <w:rPr>
          <w:rFonts w:ascii="Times New Roman" w:hAnsi="Times New Roman" w:cs="Times New Roman"/>
          <w:sz w:val="28"/>
          <w:szCs w:val="28"/>
        </w:rPr>
        <w:t xml:space="preserve">1.11 </w:t>
      </w:r>
      <w:r w:rsidR="00A42331" w:rsidRPr="00C47E8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7370A9" w:rsidRPr="00C47E85">
        <w:rPr>
          <w:rFonts w:ascii="Times New Roman" w:hAnsi="Times New Roman" w:cs="Times New Roman"/>
          <w:sz w:val="28"/>
          <w:szCs w:val="28"/>
        </w:rPr>
        <w:t>:</w:t>
      </w:r>
    </w:p>
    <w:p w:rsidR="00EF3FCE" w:rsidRPr="00C47E85" w:rsidRDefault="00EF3FCE" w:rsidP="00B0269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2C39" w:rsidRPr="00C47E85" w:rsidRDefault="00C9396A" w:rsidP="00B026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«</w:t>
      </w:r>
      <w:r w:rsidR="00834C7C" w:rsidRPr="00C47E85">
        <w:rPr>
          <w:rFonts w:ascii="Times New Roman" w:hAnsi="Times New Roman" w:cs="Times New Roman"/>
          <w:sz w:val="28"/>
          <w:szCs w:val="28"/>
        </w:rPr>
        <w:t>1.6. Арендная плата за земельные участки, предоставленные для размещения объектов, предусмотренны</w:t>
      </w:r>
      <w:r w:rsidR="00016946" w:rsidRPr="00C47E85">
        <w:rPr>
          <w:rFonts w:ascii="Times New Roman" w:hAnsi="Times New Roman" w:cs="Times New Roman"/>
          <w:sz w:val="28"/>
          <w:szCs w:val="28"/>
        </w:rPr>
        <w:t>х</w:t>
      </w:r>
      <w:r w:rsidR="00102985" w:rsidRPr="00C47E8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34C7C" w:rsidRPr="00C47E85">
          <w:rPr>
            <w:rFonts w:ascii="Times New Roman" w:hAnsi="Times New Roman" w:cs="Times New Roman"/>
            <w:sz w:val="28"/>
            <w:szCs w:val="28"/>
          </w:rPr>
          <w:t>пунктом 2 статьи 49</w:t>
        </w:r>
      </w:hyperlink>
      <w:r w:rsidR="00834C7C" w:rsidRPr="00C47E8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4F73CD" w:rsidRPr="00C47E85">
        <w:rPr>
          <w:rFonts w:ascii="Times New Roman" w:hAnsi="Times New Roman" w:cs="Times New Roman"/>
          <w:sz w:val="28"/>
          <w:szCs w:val="28"/>
        </w:rPr>
        <w:t xml:space="preserve">а также для проведения работ, связанных с пользованием недрами, рассчитывается </w:t>
      </w:r>
      <w:r w:rsidR="00834C7C" w:rsidRPr="00C47E85">
        <w:rPr>
          <w:rFonts w:ascii="Times New Roman" w:hAnsi="Times New Roman" w:cs="Times New Roman"/>
          <w:sz w:val="28"/>
          <w:szCs w:val="28"/>
        </w:rPr>
        <w:t xml:space="preserve">со ставками арендной платы, утвержденными </w:t>
      </w:r>
      <w:r w:rsidR="00E62C39" w:rsidRPr="00C47E85">
        <w:rPr>
          <w:rFonts w:ascii="Times New Roman" w:hAnsi="Times New Roman" w:cs="Times New Roman"/>
          <w:sz w:val="28"/>
          <w:szCs w:val="28"/>
        </w:rPr>
        <w:t>федеральными органами исполнительной власти.</w:t>
      </w:r>
    </w:p>
    <w:p w:rsidR="00834C7C" w:rsidRPr="00C47E85" w:rsidRDefault="00834C7C" w:rsidP="00B0269C">
      <w:pPr>
        <w:pStyle w:val="ConsPlusNormal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1.7. Размер арендной платы за земельные участки,</w:t>
      </w:r>
      <w:r w:rsidR="00A67C4B"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6946"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заключения договора аренды в соответствии с</w:t>
      </w:r>
      <w:r w:rsidR="00A67C4B"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</w:t>
      </w:r>
      <w:r w:rsidR="00016946"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A67C4B"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39</w:t>
      </w:r>
      <w:r w:rsidRPr="00C47E85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7</w:t>
      </w: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</w:t>
      </w:r>
      <w:r w:rsidR="00582225"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устанавливается в размере земельного налога, рассчитанного в отношении такого земельного участка</w:t>
      </w:r>
      <w:r w:rsidR="00295EAE"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34C7C" w:rsidRPr="00C47E85" w:rsidRDefault="00834C7C" w:rsidP="00B0269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 xml:space="preserve">1.8. </w:t>
      </w:r>
      <w:r w:rsidR="00A67C4B" w:rsidRPr="00C47E85">
        <w:rPr>
          <w:rFonts w:ascii="Times New Roman" w:hAnsi="Times New Roman" w:cs="Times New Roman"/>
          <w:sz w:val="28"/>
          <w:szCs w:val="28"/>
        </w:rPr>
        <w:t xml:space="preserve">В случае если на земельном участке осуществляется несколько видов </w:t>
      </w:r>
      <w:r w:rsidR="005B3170" w:rsidRPr="00C47E85">
        <w:rPr>
          <w:rFonts w:ascii="Times New Roman" w:hAnsi="Times New Roman" w:cs="Times New Roman"/>
          <w:sz w:val="28"/>
          <w:szCs w:val="28"/>
        </w:rPr>
        <w:t>использования</w:t>
      </w:r>
      <w:r w:rsidR="00A67C4B" w:rsidRPr="00C47E85">
        <w:rPr>
          <w:rFonts w:ascii="Times New Roman" w:hAnsi="Times New Roman" w:cs="Times New Roman"/>
          <w:sz w:val="28"/>
          <w:szCs w:val="28"/>
        </w:rPr>
        <w:t>, то в целях исчисления арендной платы применяется наибольший поправочный коэффициент, учитывающий вид использования земельного участка</w:t>
      </w:r>
      <w:r w:rsidRPr="00C47E85">
        <w:rPr>
          <w:rFonts w:ascii="Times New Roman" w:hAnsi="Times New Roman" w:cs="Times New Roman"/>
          <w:sz w:val="28"/>
          <w:szCs w:val="28"/>
        </w:rPr>
        <w:t>.</w:t>
      </w:r>
    </w:p>
    <w:p w:rsidR="00102985" w:rsidRPr="00C47E85" w:rsidRDefault="00834C7C" w:rsidP="00B026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 xml:space="preserve">1.9. В случае если на земельных участках </w:t>
      </w:r>
      <w:r w:rsidR="00102985" w:rsidRPr="00C47E85">
        <w:rPr>
          <w:rFonts w:ascii="Times New Roman" w:hAnsi="Times New Roman" w:cs="Times New Roman"/>
          <w:sz w:val="28"/>
          <w:szCs w:val="28"/>
        </w:rPr>
        <w:t xml:space="preserve">осуществляется производственная деятельность </w:t>
      </w:r>
      <w:r w:rsidR="001E673F" w:rsidRPr="00C47E85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A42331" w:rsidRPr="00C47E85">
        <w:rPr>
          <w:rFonts w:ascii="Times New Roman" w:hAnsi="Times New Roman" w:cs="Times New Roman"/>
          <w:sz w:val="28"/>
          <w:szCs w:val="28"/>
        </w:rPr>
        <w:t xml:space="preserve">офисной инфраструктуры (включая централизованные приемные помещения, комнаты для проведения встреч, офисное оборудование, парковки) площадью </w:t>
      </w:r>
      <w:r w:rsidR="001E673F" w:rsidRPr="00C47E85">
        <w:rPr>
          <w:rFonts w:ascii="Times New Roman" w:hAnsi="Times New Roman" w:cs="Times New Roman"/>
          <w:sz w:val="28"/>
          <w:szCs w:val="28"/>
        </w:rPr>
        <w:t xml:space="preserve">не более 20 процентов  </w:t>
      </w:r>
      <w:r w:rsidR="00A42331" w:rsidRPr="00C47E85">
        <w:rPr>
          <w:rFonts w:ascii="Times New Roman" w:hAnsi="Times New Roman" w:cs="Times New Roman"/>
          <w:sz w:val="28"/>
          <w:szCs w:val="28"/>
        </w:rPr>
        <w:t xml:space="preserve">от </w:t>
      </w:r>
      <w:r w:rsidR="001E673F" w:rsidRPr="00C47E85">
        <w:rPr>
          <w:rFonts w:ascii="Times New Roman" w:hAnsi="Times New Roman" w:cs="Times New Roman"/>
          <w:sz w:val="28"/>
          <w:szCs w:val="28"/>
        </w:rPr>
        <w:t xml:space="preserve">общей площади </w:t>
      </w:r>
      <w:r w:rsidR="00A42331" w:rsidRPr="00C47E85">
        <w:rPr>
          <w:rFonts w:ascii="Times New Roman" w:hAnsi="Times New Roman" w:cs="Times New Roman"/>
          <w:sz w:val="28"/>
          <w:szCs w:val="28"/>
        </w:rPr>
        <w:t>здания, строения, сооружения</w:t>
      </w:r>
      <w:r w:rsidR="007D0901" w:rsidRPr="00C47E85">
        <w:rPr>
          <w:rFonts w:ascii="Times New Roman" w:hAnsi="Times New Roman" w:cs="Times New Roman"/>
          <w:sz w:val="28"/>
          <w:szCs w:val="28"/>
        </w:rPr>
        <w:t>, арендная пл</w:t>
      </w:r>
      <w:r w:rsidR="00582225" w:rsidRPr="00C47E85">
        <w:rPr>
          <w:rFonts w:ascii="Times New Roman" w:hAnsi="Times New Roman" w:cs="Times New Roman"/>
          <w:sz w:val="28"/>
          <w:szCs w:val="28"/>
        </w:rPr>
        <w:t>ата</w:t>
      </w:r>
      <w:r w:rsidR="007D0901" w:rsidRPr="00C47E85">
        <w:rPr>
          <w:rFonts w:ascii="Times New Roman" w:hAnsi="Times New Roman" w:cs="Times New Roman"/>
          <w:sz w:val="28"/>
          <w:szCs w:val="28"/>
        </w:rPr>
        <w:t xml:space="preserve"> </w:t>
      </w:r>
      <w:r w:rsidRPr="00C47E85">
        <w:rPr>
          <w:rFonts w:ascii="Times New Roman" w:hAnsi="Times New Roman" w:cs="Times New Roman"/>
          <w:sz w:val="28"/>
          <w:szCs w:val="28"/>
        </w:rPr>
        <w:t>взимается по ставке, применяемой для производственной деятельности.</w:t>
      </w:r>
    </w:p>
    <w:p w:rsidR="00C25FB5" w:rsidRDefault="00C51ED2" w:rsidP="00B026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 xml:space="preserve">1.10. </w:t>
      </w:r>
      <w:r w:rsidR="009A6F2C" w:rsidRPr="00C47E85">
        <w:rPr>
          <w:rFonts w:ascii="Times New Roman" w:hAnsi="Times New Roman" w:cs="Times New Roman"/>
          <w:sz w:val="28"/>
          <w:szCs w:val="28"/>
        </w:rPr>
        <w:t xml:space="preserve">При изменении кадастровой стоимости земельного участка арендная плата подлежит перерасчету по состоянию на 1 января года, следующего за годом, в котором произошло изменение кадастровой стоимости земельного участка. </w:t>
      </w:r>
    </w:p>
    <w:p w:rsidR="005B3170" w:rsidRPr="00C47E85" w:rsidRDefault="005B3170" w:rsidP="00B026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Возможность изменения арендной платы в связи с изменением кадастровой стоимости земельного участка предусматривается договором аренды земельного участка.</w:t>
      </w:r>
    </w:p>
    <w:p w:rsidR="00C51ED2" w:rsidRPr="00C47E85" w:rsidRDefault="00787D3D" w:rsidP="00B026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 xml:space="preserve">1.11. </w:t>
      </w:r>
      <w:r w:rsidR="00700F5A" w:rsidRPr="00C47E85">
        <w:rPr>
          <w:rFonts w:ascii="Times New Roman" w:hAnsi="Times New Roman" w:cs="Times New Roman"/>
          <w:sz w:val="28"/>
          <w:szCs w:val="28"/>
        </w:rPr>
        <w:t xml:space="preserve">В случае, если в государственном кадастре недвижимости кадастровая стоимость земельного участка не </w:t>
      </w:r>
      <w:r w:rsidR="00700F5A">
        <w:rPr>
          <w:rFonts w:ascii="Times New Roman" w:hAnsi="Times New Roman" w:cs="Times New Roman"/>
          <w:sz w:val="28"/>
          <w:szCs w:val="28"/>
        </w:rPr>
        <w:t>установлена</w:t>
      </w:r>
      <w:r w:rsidR="00700F5A" w:rsidRPr="00C47E85">
        <w:rPr>
          <w:rFonts w:ascii="Times New Roman" w:hAnsi="Times New Roman" w:cs="Times New Roman"/>
          <w:sz w:val="28"/>
          <w:szCs w:val="28"/>
        </w:rPr>
        <w:t xml:space="preserve"> либо указана в размере, равном нулю или одному рублю, расчет арендной платы осуществляется на основании рыночной стоимости земельного участка.</w:t>
      </w:r>
      <w:r w:rsidR="00C51ED2" w:rsidRPr="00C47E85">
        <w:rPr>
          <w:rFonts w:ascii="Times New Roman" w:hAnsi="Times New Roman" w:cs="Times New Roman"/>
          <w:sz w:val="28"/>
          <w:szCs w:val="28"/>
        </w:rPr>
        <w:t>»</w:t>
      </w:r>
      <w:r w:rsidR="00175A56" w:rsidRPr="00C47E85">
        <w:rPr>
          <w:rFonts w:ascii="Times New Roman" w:hAnsi="Times New Roman" w:cs="Times New Roman"/>
          <w:sz w:val="28"/>
          <w:szCs w:val="28"/>
        </w:rPr>
        <w:t>;</w:t>
      </w:r>
    </w:p>
    <w:p w:rsidR="00834C7C" w:rsidRPr="00C47E85" w:rsidRDefault="00834C7C" w:rsidP="00B026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A56" w:rsidRPr="00C47E85" w:rsidRDefault="00175A56" w:rsidP="00B0269C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п</w:t>
      </w:r>
      <w:r w:rsidR="00156E33" w:rsidRPr="00C47E85">
        <w:rPr>
          <w:rFonts w:ascii="Times New Roman" w:hAnsi="Times New Roman" w:cs="Times New Roman"/>
          <w:sz w:val="28"/>
          <w:szCs w:val="28"/>
        </w:rPr>
        <w:t xml:space="preserve">ункт </w:t>
      </w:r>
      <w:r w:rsidR="00834C7C" w:rsidRPr="00C47E85">
        <w:rPr>
          <w:rFonts w:ascii="Times New Roman" w:hAnsi="Times New Roman" w:cs="Times New Roman"/>
          <w:sz w:val="28"/>
          <w:szCs w:val="28"/>
        </w:rPr>
        <w:t>2.3</w:t>
      </w:r>
      <w:r w:rsidR="001E673F" w:rsidRPr="00C47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E8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E55C0" w:rsidRPr="00C47E85">
        <w:rPr>
          <w:rFonts w:ascii="Times New Roman" w:hAnsi="Times New Roman" w:cs="Times New Roman"/>
          <w:sz w:val="28"/>
          <w:szCs w:val="28"/>
        </w:rPr>
        <w:t>;</w:t>
      </w:r>
    </w:p>
    <w:p w:rsidR="006D264C" w:rsidRDefault="006D264C" w:rsidP="00B0269C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3F" w:rsidRPr="00C47E85" w:rsidRDefault="00175A56" w:rsidP="00B0269C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п</w:t>
      </w:r>
      <w:r w:rsidR="00CB615C" w:rsidRPr="00C47E85">
        <w:rPr>
          <w:rFonts w:ascii="Times New Roman" w:hAnsi="Times New Roman" w:cs="Times New Roman"/>
          <w:sz w:val="28"/>
          <w:szCs w:val="28"/>
        </w:rPr>
        <w:t xml:space="preserve">риложение к Положению </w:t>
      </w:r>
      <w:r w:rsidRPr="00C47E8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E673F" w:rsidRPr="00C47E85">
        <w:rPr>
          <w:rFonts w:ascii="Times New Roman" w:hAnsi="Times New Roman" w:cs="Times New Roman"/>
          <w:sz w:val="28"/>
          <w:szCs w:val="28"/>
        </w:rPr>
        <w:t>:</w:t>
      </w:r>
    </w:p>
    <w:p w:rsidR="00016946" w:rsidRPr="00C47E85" w:rsidRDefault="00016946" w:rsidP="00016946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6946" w:rsidRPr="00C47E85" w:rsidRDefault="00016946" w:rsidP="00016946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«Приложение</w:t>
      </w:r>
    </w:p>
    <w:p w:rsidR="00016946" w:rsidRPr="00C47E85" w:rsidRDefault="00016946" w:rsidP="00016946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Положению о порядке определения </w:t>
      </w:r>
    </w:p>
    <w:p w:rsidR="00016946" w:rsidRPr="00C47E85" w:rsidRDefault="00016946" w:rsidP="00016946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размеров арендной платы за земельные</w:t>
      </w:r>
    </w:p>
    <w:p w:rsidR="00016946" w:rsidRPr="00C47E85" w:rsidRDefault="00016946" w:rsidP="00016946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участки, находящиеся в собственности</w:t>
      </w:r>
    </w:p>
    <w:p w:rsidR="00016946" w:rsidRPr="00C47E85" w:rsidRDefault="00016946" w:rsidP="00016946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Республики Татарстан и государственная </w:t>
      </w:r>
    </w:p>
    <w:p w:rsidR="001E673F" w:rsidRPr="00C47E85" w:rsidRDefault="00B0269C" w:rsidP="00016946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16946"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обственность на которые не разграничена</w:t>
      </w: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B0269C" w:rsidRPr="00C47E85" w:rsidRDefault="00B0269C" w:rsidP="00016946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утвержденному постановлением Кабинета </w:t>
      </w:r>
    </w:p>
    <w:p w:rsidR="00B0269C" w:rsidRPr="00C47E85" w:rsidRDefault="00B0269C" w:rsidP="00016946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Министров Республики Татарстан</w:t>
      </w:r>
    </w:p>
    <w:p w:rsidR="00B0269C" w:rsidRPr="00C47E85" w:rsidRDefault="00B0269C" w:rsidP="00B0269C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09.02.1995  № 74</w:t>
      </w:r>
    </w:p>
    <w:p w:rsidR="00B0269C" w:rsidRPr="00C47E85" w:rsidRDefault="00B0269C" w:rsidP="00B0269C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 редакции постановления Кабинета </w:t>
      </w:r>
    </w:p>
    <w:p w:rsidR="00B0269C" w:rsidRPr="00C47E85" w:rsidRDefault="00B0269C" w:rsidP="00B0269C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Министров Республики Татарстан </w:t>
      </w:r>
    </w:p>
    <w:p w:rsidR="00B0269C" w:rsidRPr="00C47E85" w:rsidRDefault="00B0269C" w:rsidP="00B0269C">
      <w:pPr>
        <w:pStyle w:val="ConsPlusNormal"/>
        <w:tabs>
          <w:tab w:val="left" w:pos="1164"/>
        </w:tabs>
        <w:ind w:right="-1"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7E8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________________№__________)</w:t>
      </w:r>
    </w:p>
    <w:p w:rsidR="00016946" w:rsidRPr="00C47E85" w:rsidRDefault="00016946" w:rsidP="00016946">
      <w:pPr>
        <w:pStyle w:val="ConsPlusNormal"/>
        <w:tabs>
          <w:tab w:val="left" w:pos="1164"/>
        </w:tabs>
        <w:ind w:firstLine="411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6946" w:rsidRPr="00C47E85" w:rsidRDefault="00016946" w:rsidP="00016946">
      <w:pPr>
        <w:pStyle w:val="ConsPlusNormal"/>
        <w:tabs>
          <w:tab w:val="left" w:pos="1164"/>
        </w:tabs>
        <w:ind w:firstLine="39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F9E" w:rsidRPr="00C47E85" w:rsidRDefault="00CB615C" w:rsidP="00840297">
      <w:pPr>
        <w:pStyle w:val="ConsPlusNormal"/>
        <w:tabs>
          <w:tab w:val="left" w:pos="116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7E85">
        <w:rPr>
          <w:rFonts w:ascii="Times New Roman" w:hAnsi="Times New Roman" w:cs="Times New Roman"/>
          <w:sz w:val="24"/>
          <w:szCs w:val="24"/>
        </w:rPr>
        <w:t>ПЕРЕЧЕНЬ ПОПРАВОЧНЫХ КОЭФФИЦИЕНТОВ, УЧИТЫВАЮЩИХ ВИД ИСПОЛЬЗОВАНИЯ ЗЕМЕЛЬНОГО УЧАСТКА</w:t>
      </w:r>
    </w:p>
    <w:p w:rsidR="004077C9" w:rsidRPr="00C47E85" w:rsidRDefault="004077C9" w:rsidP="00CB615C">
      <w:pPr>
        <w:pStyle w:val="ConsPlusNormal"/>
        <w:tabs>
          <w:tab w:val="left" w:pos="116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063"/>
      </w:tblGrid>
      <w:tr w:rsidR="00582225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C47E8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C9" w:rsidRPr="00C47E85" w:rsidRDefault="004077C9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</w:p>
        </w:tc>
      </w:tr>
      <w:tr w:rsidR="00D434A9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</w:t>
            </w:r>
          </w:p>
        </w:tc>
      </w:tr>
      <w:tr w:rsidR="00D434A9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E62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</w:t>
            </w:r>
            <w:r w:rsidR="00E62C39"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</w:t>
            </w:r>
            <w:r w:rsidR="00520CDE"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щение</w:t>
            </w: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жилья и объектов, строящихся в целях реализации </w:t>
            </w:r>
            <w:hyperlink r:id="rId8" w:history="1"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Татарстан от 27.12.2004            № 69-ЗРТ «О государственной поддержке развития жилищного строительства в Республике Татарстан»</w:t>
            </w:r>
            <w:r w:rsidR="00520CDE"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D434A9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D434A9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D434A9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A9" w:rsidRPr="00C47E85" w:rsidRDefault="00D434A9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294C4F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F" w:rsidRPr="00C47E85" w:rsidRDefault="00294C4F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объекты, предназначенные для временного бесплатного проживания граждан, сопровождающих лиц, находящихся на лечении в учреждениях здравоохранения Республики Татарстан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F" w:rsidRPr="00C47E85" w:rsidRDefault="00294C4F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294C4F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F" w:rsidRPr="00C47E85" w:rsidRDefault="00294C4F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</w:t>
            </w: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</w:t>
            </w:r>
            <w:hyperlink r:id="rId9" w:history="1"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 июля 2005 года № 115-ФЗ «О концессионных соглашениях»</w:t>
            </w:r>
            <w:r w:rsidR="00156E33"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F" w:rsidRPr="00C47E85" w:rsidRDefault="00294C4F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0,1</w:t>
            </w:r>
          </w:p>
        </w:tc>
      </w:tr>
      <w:tr w:rsidR="00294C4F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F" w:rsidRPr="00C47E85" w:rsidRDefault="00294C4F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объекты, созданные на земельных участках, предоставленных в соответствии с </w:t>
            </w:r>
            <w:hyperlink r:id="rId10" w:history="1"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3 пункта 2 статьи 39</w:t>
              </w:r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vertAlign w:val="superscript"/>
                </w:rPr>
                <w:t>6</w:t>
              </w:r>
            </w:hyperlink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 и имеющих смежную границу с земельными участками, предоставленными в соответствии с </w:t>
            </w:r>
            <w:hyperlink r:id="rId11" w:history="1"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25 пункта 2 статьи 39</w:t>
              </w:r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vertAlign w:val="superscript"/>
                </w:rPr>
                <w:t>6</w:t>
              </w:r>
            </w:hyperlink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 или в соответствии с Федеральным </w:t>
            </w:r>
            <w:hyperlink r:id="rId12" w:history="1"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 июля 2005 года № 115-ФЗ «О концессионных соглашениях»</w:t>
            </w:r>
            <w:r w:rsidR="00156E33"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F" w:rsidRPr="00C47E85" w:rsidRDefault="00294C4F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294C4F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4F" w:rsidRPr="00C47E85" w:rsidRDefault="00294C4F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 (или) заемных средств после 1 января 2017 года на основании договоров аренды, заключенных в соответствии с </w:t>
            </w:r>
            <w:hyperlink r:id="rId13" w:history="1"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25 пункта 2 статьи 3</w:t>
              </w:r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vertAlign w:val="superscript"/>
                </w:rPr>
                <w:t>96</w:t>
              </w:r>
            </w:hyperlink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  <w:r w:rsidR="00156E33"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4C4F" w:rsidRPr="00C47E85" w:rsidRDefault="00294C4F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объекты здравоохранения, расположенные на земельных участках, предоставленных в соответствии с </w:t>
            </w:r>
            <w:hyperlink r:id="rId14" w:history="1"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подпунктом 3 пункта 2 статьи 39</w:t>
              </w:r>
              <w:r w:rsidRPr="00C47E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vertAlign w:val="superscript"/>
                </w:rPr>
                <w:t>6</w:t>
              </w:r>
            </w:hyperlink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17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сельскохозяйственное производство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156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</w:t>
            </w:r>
            <w:r w:rsidR="00156E33"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</w:t>
            </w: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жилья, ведение личного подсобного </w:t>
            </w: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C47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объекты, предназначенные</w:t>
            </w:r>
            <w:r w:rsid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размещения портов, водных</w:t>
            </w: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автодорожных вокзалов, аэровокзалов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C47E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</w:t>
            </w:r>
            <w:r w:rsid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ичалов, пристаней, полос отвода </w:t>
            </w: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</w:t>
            </w:r>
            <w:r w:rsid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7C52DC">
        <w:trPr>
          <w:trHeight w:val="595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«Создание </w:t>
            </w:r>
            <w:proofErr w:type="spellStart"/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Свияжского</w:t>
            </w:r>
            <w:proofErr w:type="spellEnd"/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межрегионального </w:t>
            </w:r>
            <w:proofErr w:type="spellStart"/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мультимодального</w:t>
            </w:r>
            <w:proofErr w:type="spellEnd"/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логистического центра»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водные объекты, находящиеся в обороте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7C52DC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DC" w:rsidRPr="00C47E85" w:rsidRDefault="007C52DC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646890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 открытые стоянки автомототранспорта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</w:tr>
      <w:tr w:rsidR="00646890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646890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</w:tr>
      <w:tr w:rsidR="00646890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646890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DD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DD3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</w:tr>
      <w:tr w:rsidR="00646890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32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646890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10,0</w:t>
            </w:r>
          </w:p>
        </w:tc>
      </w:tr>
      <w:tr w:rsidR="00646890" w:rsidRPr="00C47E85" w:rsidTr="00A67C4B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90" w:rsidRPr="00C47E85" w:rsidRDefault="00646890" w:rsidP="0040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75,0»</w:t>
            </w:r>
          </w:p>
        </w:tc>
      </w:tr>
    </w:tbl>
    <w:p w:rsidR="004077C9" w:rsidRPr="00C47E85" w:rsidRDefault="004077C9" w:rsidP="004077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54D83" w:rsidRPr="00C47E85" w:rsidRDefault="00854D83" w:rsidP="00541EEA">
      <w:pPr>
        <w:pStyle w:val="ConsPlusNormal"/>
        <w:widowControl/>
        <w:spacing w:before="120"/>
        <w:jc w:val="center"/>
        <w:rPr>
          <w:rFonts w:ascii="Times New Roman" w:hAnsi="Times New Roman" w:cs="Times New Roman"/>
          <w:sz w:val="28"/>
          <w:szCs w:val="28"/>
        </w:rPr>
      </w:pPr>
    </w:p>
    <w:p w:rsidR="00854D83" w:rsidRPr="00C47E85" w:rsidRDefault="00854D83" w:rsidP="00541EEA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47E8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F34E1" w:rsidRPr="00AD56BE" w:rsidRDefault="00854D83" w:rsidP="002B629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7E85">
        <w:rPr>
          <w:rFonts w:ascii="Times New Roman" w:hAnsi="Times New Roman" w:cs="Times New Roman"/>
          <w:sz w:val="28"/>
          <w:szCs w:val="28"/>
        </w:rPr>
        <w:t>Республики</w:t>
      </w:r>
      <w:r w:rsidR="00AD56BE" w:rsidRPr="00C47E85">
        <w:rPr>
          <w:rFonts w:ascii="Times New Roman" w:hAnsi="Times New Roman" w:cs="Times New Roman"/>
          <w:sz w:val="28"/>
          <w:szCs w:val="28"/>
        </w:rPr>
        <w:t xml:space="preserve"> </w:t>
      </w:r>
      <w:r w:rsidRPr="00C47E85">
        <w:rPr>
          <w:rFonts w:ascii="Times New Roman" w:hAnsi="Times New Roman" w:cs="Times New Roman"/>
          <w:sz w:val="28"/>
          <w:szCs w:val="28"/>
        </w:rPr>
        <w:t xml:space="preserve">Татарстан    </w:t>
      </w:r>
      <w:r w:rsidR="00AD56BE" w:rsidRPr="00C47E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47E8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4B54" w:rsidRPr="00C47E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47E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7E8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F34E1" w:rsidRPr="00AD56BE" w:rsidSect="00016946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793"/>
    <w:multiLevelType w:val="multilevel"/>
    <w:tmpl w:val="99025D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352FDF"/>
    <w:multiLevelType w:val="multilevel"/>
    <w:tmpl w:val="53DA2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CB5A8D"/>
    <w:multiLevelType w:val="hybridMultilevel"/>
    <w:tmpl w:val="DA9AC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43444"/>
    <w:multiLevelType w:val="hybridMultilevel"/>
    <w:tmpl w:val="6784A760"/>
    <w:lvl w:ilvl="0" w:tplc="3300F7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1"/>
    <w:rsid w:val="00005D61"/>
    <w:rsid w:val="00016946"/>
    <w:rsid w:val="00036634"/>
    <w:rsid w:val="00036662"/>
    <w:rsid w:val="00066047"/>
    <w:rsid w:val="0009246D"/>
    <w:rsid w:val="000A1F73"/>
    <w:rsid w:val="000B2427"/>
    <w:rsid w:val="000E7319"/>
    <w:rsid w:val="00102985"/>
    <w:rsid w:val="0011109F"/>
    <w:rsid w:val="00131B13"/>
    <w:rsid w:val="001511B7"/>
    <w:rsid w:val="00156E33"/>
    <w:rsid w:val="001642E8"/>
    <w:rsid w:val="00175A56"/>
    <w:rsid w:val="001950D3"/>
    <w:rsid w:val="00195E4E"/>
    <w:rsid w:val="001A73FA"/>
    <w:rsid w:val="001D2E52"/>
    <w:rsid w:val="001E673F"/>
    <w:rsid w:val="002143D1"/>
    <w:rsid w:val="00223195"/>
    <w:rsid w:val="00232971"/>
    <w:rsid w:val="00233471"/>
    <w:rsid w:val="00251B65"/>
    <w:rsid w:val="002530BD"/>
    <w:rsid w:val="0026050F"/>
    <w:rsid w:val="00264A99"/>
    <w:rsid w:val="00267CEB"/>
    <w:rsid w:val="00277708"/>
    <w:rsid w:val="00294C4F"/>
    <w:rsid w:val="00295EAE"/>
    <w:rsid w:val="002B6294"/>
    <w:rsid w:val="00322F2B"/>
    <w:rsid w:val="00324D25"/>
    <w:rsid w:val="00347784"/>
    <w:rsid w:val="003957EA"/>
    <w:rsid w:val="003C667A"/>
    <w:rsid w:val="003E28E0"/>
    <w:rsid w:val="004028D1"/>
    <w:rsid w:val="004077C9"/>
    <w:rsid w:val="004464A7"/>
    <w:rsid w:val="00446E1F"/>
    <w:rsid w:val="00457B3A"/>
    <w:rsid w:val="004604C2"/>
    <w:rsid w:val="004B6F56"/>
    <w:rsid w:val="004D3332"/>
    <w:rsid w:val="004D6188"/>
    <w:rsid w:val="004E5D26"/>
    <w:rsid w:val="004F3D44"/>
    <w:rsid w:val="004F73CD"/>
    <w:rsid w:val="0051398B"/>
    <w:rsid w:val="00517B96"/>
    <w:rsid w:val="00520CDE"/>
    <w:rsid w:val="00536563"/>
    <w:rsid w:val="00541EEA"/>
    <w:rsid w:val="0055452B"/>
    <w:rsid w:val="0057346C"/>
    <w:rsid w:val="00582225"/>
    <w:rsid w:val="00584DC7"/>
    <w:rsid w:val="005B3170"/>
    <w:rsid w:val="00613AF9"/>
    <w:rsid w:val="00646890"/>
    <w:rsid w:val="006A6F29"/>
    <w:rsid w:val="006D264C"/>
    <w:rsid w:val="00700F5A"/>
    <w:rsid w:val="0070634E"/>
    <w:rsid w:val="007264AD"/>
    <w:rsid w:val="007370A9"/>
    <w:rsid w:val="007460F1"/>
    <w:rsid w:val="00753F82"/>
    <w:rsid w:val="007831D5"/>
    <w:rsid w:val="00787D3D"/>
    <w:rsid w:val="007B6509"/>
    <w:rsid w:val="007C48A0"/>
    <w:rsid w:val="007C52DC"/>
    <w:rsid w:val="007C73A0"/>
    <w:rsid w:val="007D0901"/>
    <w:rsid w:val="00814057"/>
    <w:rsid w:val="00831B7B"/>
    <w:rsid w:val="00834C7C"/>
    <w:rsid w:val="00840297"/>
    <w:rsid w:val="00851ABA"/>
    <w:rsid w:val="00854D83"/>
    <w:rsid w:val="00861355"/>
    <w:rsid w:val="00871A91"/>
    <w:rsid w:val="00872C61"/>
    <w:rsid w:val="008A472D"/>
    <w:rsid w:val="008A6675"/>
    <w:rsid w:val="008B4288"/>
    <w:rsid w:val="008C1389"/>
    <w:rsid w:val="0090739C"/>
    <w:rsid w:val="009469FF"/>
    <w:rsid w:val="00993E41"/>
    <w:rsid w:val="009A3BEC"/>
    <w:rsid w:val="009A6F2C"/>
    <w:rsid w:val="009B23AA"/>
    <w:rsid w:val="009D1946"/>
    <w:rsid w:val="009F34E1"/>
    <w:rsid w:val="00A075CF"/>
    <w:rsid w:val="00A0783B"/>
    <w:rsid w:val="00A13C84"/>
    <w:rsid w:val="00A15180"/>
    <w:rsid w:val="00A323C7"/>
    <w:rsid w:val="00A35AE0"/>
    <w:rsid w:val="00A42331"/>
    <w:rsid w:val="00A45F56"/>
    <w:rsid w:val="00A57512"/>
    <w:rsid w:val="00A57ECA"/>
    <w:rsid w:val="00A660DD"/>
    <w:rsid w:val="00A67C4B"/>
    <w:rsid w:val="00A83BD9"/>
    <w:rsid w:val="00A85B1A"/>
    <w:rsid w:val="00AA2A27"/>
    <w:rsid w:val="00AC0B4E"/>
    <w:rsid w:val="00AD56BE"/>
    <w:rsid w:val="00AE4518"/>
    <w:rsid w:val="00B0269C"/>
    <w:rsid w:val="00B4130C"/>
    <w:rsid w:val="00B45799"/>
    <w:rsid w:val="00B67B0D"/>
    <w:rsid w:val="00B833A6"/>
    <w:rsid w:val="00B95695"/>
    <w:rsid w:val="00BD7617"/>
    <w:rsid w:val="00BE5D65"/>
    <w:rsid w:val="00C23C60"/>
    <w:rsid w:val="00C25FB5"/>
    <w:rsid w:val="00C4032F"/>
    <w:rsid w:val="00C45888"/>
    <w:rsid w:val="00C47E85"/>
    <w:rsid w:val="00C51ED2"/>
    <w:rsid w:val="00C71DC0"/>
    <w:rsid w:val="00C73107"/>
    <w:rsid w:val="00C774EE"/>
    <w:rsid w:val="00C9396A"/>
    <w:rsid w:val="00C94962"/>
    <w:rsid w:val="00CB005A"/>
    <w:rsid w:val="00CB615C"/>
    <w:rsid w:val="00CF6B62"/>
    <w:rsid w:val="00D04945"/>
    <w:rsid w:val="00D070AB"/>
    <w:rsid w:val="00D434A9"/>
    <w:rsid w:val="00D6183D"/>
    <w:rsid w:val="00D71936"/>
    <w:rsid w:val="00D90CA6"/>
    <w:rsid w:val="00DA3EC5"/>
    <w:rsid w:val="00DA4E63"/>
    <w:rsid w:val="00DB1B4C"/>
    <w:rsid w:val="00DC72FC"/>
    <w:rsid w:val="00DD59B7"/>
    <w:rsid w:val="00DD7F9E"/>
    <w:rsid w:val="00DF13D1"/>
    <w:rsid w:val="00E16F95"/>
    <w:rsid w:val="00E2591C"/>
    <w:rsid w:val="00E405D1"/>
    <w:rsid w:val="00E62C39"/>
    <w:rsid w:val="00E93DE1"/>
    <w:rsid w:val="00E94B54"/>
    <w:rsid w:val="00EC76FF"/>
    <w:rsid w:val="00ED6A53"/>
    <w:rsid w:val="00EE4328"/>
    <w:rsid w:val="00EF3FCE"/>
    <w:rsid w:val="00F15574"/>
    <w:rsid w:val="00F51B62"/>
    <w:rsid w:val="00F80AF7"/>
    <w:rsid w:val="00F82DA2"/>
    <w:rsid w:val="00FA2165"/>
    <w:rsid w:val="00FA24E6"/>
    <w:rsid w:val="00FC3830"/>
    <w:rsid w:val="00FD05AD"/>
    <w:rsid w:val="00FD0811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7DB24-41A9-48E3-B137-00BDB8C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A9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7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83F5FCFEB49FDCDFE92EDFAACD8C6E6C76880742877B529338600392D4B6519K9L" TargetMode="External"/><Relationship Id="rId13" Type="http://schemas.openxmlformats.org/officeDocument/2006/relationships/hyperlink" Target="consultantplus://offline/ref=28B83F5FCFEB49FDCDFE8CE0ECC085CDE7C430847F247CEB766CDD5D6E244132DE8EDEC4A01FKD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CE3BB10CEBBC5A54736969A796FAF99F17D9D856559779C30EB8C991728CB35C519D62E09gFrDL" TargetMode="External"/><Relationship Id="rId12" Type="http://schemas.openxmlformats.org/officeDocument/2006/relationships/hyperlink" Target="consultantplus://offline/ref=28B83F5FCFEB49FDCDFE8CE0ECC085CDE7C5328575247CEB766CDD5D6E12K4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nzhe.ganeeva@tatar.ru" TargetMode="External"/><Relationship Id="rId11" Type="http://schemas.openxmlformats.org/officeDocument/2006/relationships/hyperlink" Target="consultantplus://offline/ref=28B83F5FCFEB49FDCDFE8CE0ECC085CDE7C430847F247CEB766CDD5D6E244132DE8EDEC4A01FKD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B83F5FCFEB49FDCDFE8CE0ECC085CDE7C430847F247CEB766CDD5D6E244132DE8EDEC4AE1FK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83F5FCFEB49FDCDFE8CE0ECC085CDE7C5328575247CEB766CDD5D6E12K4L" TargetMode="External"/><Relationship Id="rId14" Type="http://schemas.openxmlformats.org/officeDocument/2006/relationships/hyperlink" Target="consultantplus://offline/ref=28B83F5FCFEB49FDCDFE8CE0ECC085CDE7C430847F247CEB766CDD5D6E244132DE8EDEC4AE1FK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FED83-721A-4E0B-8981-C1A7EE13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Ганеева Э.А.</dc:creator>
  <cp:lastModifiedBy>Ханжина А.В.</cp:lastModifiedBy>
  <cp:revision>12</cp:revision>
  <cp:lastPrinted>2018-10-04T06:47:00Z</cp:lastPrinted>
  <dcterms:created xsi:type="dcterms:W3CDTF">2018-10-04T08:13:00Z</dcterms:created>
  <dcterms:modified xsi:type="dcterms:W3CDTF">2019-09-27T13:46:00Z</dcterms:modified>
</cp:coreProperties>
</file>