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040F1" w:rsidRPr="004040F1" w:rsidRDefault="004040F1" w:rsidP="004040F1">
      <w:pPr>
        <w:jc w:val="center"/>
        <w:rPr>
          <w:i/>
          <w:color w:val="FF0000"/>
          <w:sz w:val="28"/>
          <w:szCs w:val="28"/>
          <w:u w:val="single"/>
        </w:rPr>
      </w:pPr>
      <w:r w:rsidRPr="004040F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040F1" w:rsidRPr="004040F1" w:rsidRDefault="004040F1" w:rsidP="004040F1">
      <w:pPr>
        <w:jc w:val="center"/>
        <w:rPr>
          <w:i/>
          <w:color w:val="FF0000"/>
          <w:sz w:val="28"/>
          <w:szCs w:val="28"/>
          <w:u w:val="single"/>
        </w:rPr>
      </w:pPr>
      <w:r w:rsidRPr="004040F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040F1" w:rsidRPr="004040F1" w:rsidRDefault="004040F1" w:rsidP="004040F1">
      <w:pPr>
        <w:jc w:val="center"/>
        <w:rPr>
          <w:i/>
          <w:color w:val="FF0000"/>
          <w:sz w:val="28"/>
          <w:szCs w:val="28"/>
          <w:u w:val="single"/>
        </w:rPr>
      </w:pPr>
      <w:r w:rsidRPr="004040F1">
        <w:rPr>
          <w:i/>
          <w:color w:val="FF0000"/>
          <w:sz w:val="28"/>
          <w:szCs w:val="28"/>
          <w:u w:val="single"/>
        </w:rPr>
        <w:t>с 18 октября по 25 октября 2022 года включительно.</w:t>
      </w:r>
    </w:p>
    <w:p w:rsidR="004040F1" w:rsidRPr="004040F1" w:rsidRDefault="004040F1" w:rsidP="004040F1">
      <w:pPr>
        <w:jc w:val="center"/>
        <w:rPr>
          <w:i/>
          <w:color w:val="FF0000"/>
          <w:sz w:val="28"/>
          <w:szCs w:val="28"/>
          <w:u w:val="single"/>
        </w:rPr>
      </w:pPr>
      <w:r w:rsidRPr="004040F1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4040F1" w:rsidRPr="004040F1" w:rsidRDefault="004040F1" w:rsidP="004040F1">
      <w:pPr>
        <w:jc w:val="center"/>
        <w:rPr>
          <w:i/>
          <w:color w:val="FF0000"/>
          <w:sz w:val="28"/>
          <w:szCs w:val="28"/>
          <w:u w:val="single"/>
        </w:rPr>
      </w:pPr>
      <w:r w:rsidRPr="004040F1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4040F1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4040F1">
        <w:rPr>
          <w:i/>
          <w:color w:val="FF0000"/>
          <w:sz w:val="28"/>
          <w:szCs w:val="28"/>
          <w:u w:val="single"/>
        </w:rPr>
        <w:t>)</w:t>
      </w:r>
    </w:p>
    <w:p w:rsidR="004040F1" w:rsidRPr="004F6268" w:rsidRDefault="004040F1" w:rsidP="004040F1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B5946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B5946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22C36">
        <w:rPr>
          <w:sz w:val="28"/>
          <w:szCs w:val="20"/>
        </w:rPr>
        <w:t>Тетюшском 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6542B">
      <w:pPr>
        <w:ind w:right="21" w:firstLine="709"/>
        <w:jc w:val="both"/>
        <w:rPr>
          <w:sz w:val="28"/>
        </w:rPr>
      </w:pPr>
      <w:bookmarkStart w:id="0" w:name="_GoBack"/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3B5946" w:rsidRPr="00B6542B">
        <w:rPr>
          <w:sz w:val="28"/>
        </w:rPr>
        <w:t>ые</w:t>
      </w:r>
      <w:r w:rsidR="004F6268" w:rsidRPr="00B6542B">
        <w:rPr>
          <w:sz w:val="28"/>
        </w:rPr>
        <w:t xml:space="preserve"> участ</w:t>
      </w:r>
      <w:r w:rsidR="003B5946" w:rsidRPr="00B6542B">
        <w:rPr>
          <w:sz w:val="28"/>
        </w:rPr>
        <w:t>ки</w:t>
      </w:r>
      <w:r w:rsidR="004F6268" w:rsidRPr="00B6542B">
        <w:rPr>
          <w:sz w:val="28"/>
        </w:rPr>
        <w:t xml:space="preserve"> сельскохозяйственного назначения </w:t>
      </w:r>
      <w:r w:rsidR="007D750F">
        <w:rPr>
          <w:sz w:val="28"/>
        </w:rPr>
        <w:t xml:space="preserve">согласно приложению </w:t>
      </w:r>
      <w:r w:rsidR="005A0EA4" w:rsidRPr="00B6542B">
        <w:rPr>
          <w:sz w:val="28"/>
        </w:rPr>
        <w:t>общей площадью</w:t>
      </w:r>
      <w:r w:rsidR="00B94212" w:rsidRPr="00B6542B">
        <w:rPr>
          <w:sz w:val="28"/>
        </w:rPr>
        <w:t xml:space="preserve"> </w:t>
      </w:r>
      <w:r w:rsidR="00822C36">
        <w:rPr>
          <w:sz w:val="28"/>
        </w:rPr>
        <w:t>7,5816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гектара, расположенны</w:t>
      </w:r>
      <w:r w:rsidR="003B5946" w:rsidRPr="00B6542B">
        <w:rPr>
          <w:sz w:val="28"/>
        </w:rPr>
        <w:t>е</w:t>
      </w:r>
      <w:r w:rsidR="00B6542B" w:rsidRPr="00B6542B">
        <w:rPr>
          <w:sz w:val="28"/>
        </w:rPr>
        <w:t xml:space="preserve"> в </w:t>
      </w:r>
      <w:r w:rsidR="00822C36">
        <w:rPr>
          <w:sz w:val="28"/>
          <w:szCs w:val="20"/>
        </w:rPr>
        <w:t>Тетюшском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1A55CA" w:rsidRPr="001A55CA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EB0BAF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1A55CA" w:rsidRPr="001D462F" w:rsidRDefault="001A55CA" w:rsidP="001A55C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A55CA" w:rsidRDefault="001A55CA" w:rsidP="001A55C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1A55CA" w:rsidTr="00822C36">
        <w:trPr>
          <w:trHeight w:val="1131"/>
        </w:trPr>
        <w:tc>
          <w:tcPr>
            <w:tcW w:w="3402" w:type="dxa"/>
            <w:shd w:val="clear" w:color="auto" w:fill="auto"/>
            <w:vAlign w:val="center"/>
          </w:tcPr>
          <w:p w:rsidR="001A55CA" w:rsidRPr="00FB43E6" w:rsidRDefault="001A55CA" w:rsidP="00822C36">
            <w:pPr>
              <w:ind w:left="505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5CA" w:rsidRDefault="001A55CA" w:rsidP="0082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</w:t>
            </w:r>
          </w:p>
          <w:p w:rsidR="001A55CA" w:rsidRPr="00FB43E6" w:rsidRDefault="001A55CA" w:rsidP="00822C36">
            <w:pPr>
              <w:jc w:val="center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гектаров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55CA" w:rsidRPr="00FB43E6" w:rsidRDefault="001A55CA" w:rsidP="0082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FB43E6">
              <w:rPr>
                <w:sz w:val="28"/>
                <w:szCs w:val="28"/>
              </w:rPr>
              <w:t>муниципального района</w:t>
            </w:r>
          </w:p>
        </w:tc>
      </w:tr>
      <w:tr w:rsidR="00822C36" w:rsidTr="00822C36">
        <w:trPr>
          <w:trHeight w:val="381"/>
        </w:trPr>
        <w:tc>
          <w:tcPr>
            <w:tcW w:w="3402" w:type="dxa"/>
            <w:shd w:val="clear" w:color="auto" w:fill="auto"/>
            <w:vAlign w:val="center"/>
          </w:tcPr>
          <w:p w:rsidR="00822C36" w:rsidRPr="00FB43E6" w:rsidRDefault="00822C36" w:rsidP="00822C36">
            <w:pPr>
              <w:ind w:left="505"/>
              <w:rPr>
                <w:sz w:val="28"/>
                <w:szCs w:val="28"/>
              </w:rPr>
            </w:pPr>
            <w:r w:rsidRPr="00822C36">
              <w:rPr>
                <w:sz w:val="28"/>
                <w:szCs w:val="28"/>
              </w:rPr>
              <w:t>16:38:240301:372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C36" w:rsidRPr="00822C36" w:rsidRDefault="00822C36" w:rsidP="001C2AA6">
            <w:pPr>
              <w:ind w:left="460"/>
              <w:rPr>
                <w:sz w:val="28"/>
                <w:szCs w:val="28"/>
              </w:rPr>
            </w:pPr>
            <w:r w:rsidRPr="00822C36">
              <w:rPr>
                <w:sz w:val="28"/>
                <w:szCs w:val="28"/>
              </w:rPr>
              <w:t>0,3648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22C36" w:rsidRDefault="00822C36" w:rsidP="0082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Тетюшский</w:t>
            </w:r>
          </w:p>
        </w:tc>
      </w:tr>
      <w:tr w:rsidR="00822C36" w:rsidTr="00822C36">
        <w:trPr>
          <w:trHeight w:val="381"/>
        </w:trPr>
        <w:tc>
          <w:tcPr>
            <w:tcW w:w="3402" w:type="dxa"/>
            <w:shd w:val="clear" w:color="auto" w:fill="auto"/>
            <w:vAlign w:val="center"/>
          </w:tcPr>
          <w:p w:rsidR="00822C36" w:rsidRPr="00FB43E6" w:rsidRDefault="00822C36" w:rsidP="00822C36">
            <w:pPr>
              <w:ind w:left="505"/>
              <w:rPr>
                <w:sz w:val="28"/>
                <w:szCs w:val="28"/>
              </w:rPr>
            </w:pPr>
            <w:r w:rsidRPr="00822C36">
              <w:rPr>
                <w:sz w:val="28"/>
                <w:szCs w:val="28"/>
              </w:rPr>
              <w:t>16:38:240301:375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C36" w:rsidRPr="00822C36" w:rsidRDefault="00822C36" w:rsidP="001C2AA6">
            <w:pPr>
              <w:ind w:left="460"/>
              <w:rPr>
                <w:sz w:val="28"/>
                <w:szCs w:val="28"/>
              </w:rPr>
            </w:pPr>
            <w:r w:rsidRPr="00822C36">
              <w:rPr>
                <w:sz w:val="28"/>
                <w:szCs w:val="28"/>
              </w:rPr>
              <w:t>4,4876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22C36" w:rsidRDefault="00822C36" w:rsidP="00822C36">
            <w:pPr>
              <w:jc w:val="center"/>
              <w:rPr>
                <w:sz w:val="28"/>
                <w:szCs w:val="28"/>
              </w:rPr>
            </w:pPr>
          </w:p>
        </w:tc>
      </w:tr>
      <w:tr w:rsidR="00822C36" w:rsidTr="00822C36">
        <w:trPr>
          <w:trHeight w:val="381"/>
        </w:trPr>
        <w:tc>
          <w:tcPr>
            <w:tcW w:w="3402" w:type="dxa"/>
            <w:shd w:val="clear" w:color="auto" w:fill="auto"/>
            <w:vAlign w:val="center"/>
          </w:tcPr>
          <w:p w:rsidR="00822C36" w:rsidRPr="001A55CA" w:rsidRDefault="00822C36" w:rsidP="00822C36">
            <w:pPr>
              <w:ind w:left="505"/>
              <w:rPr>
                <w:sz w:val="28"/>
                <w:szCs w:val="28"/>
              </w:rPr>
            </w:pPr>
            <w:r w:rsidRPr="00822C36">
              <w:rPr>
                <w:sz w:val="28"/>
                <w:szCs w:val="28"/>
              </w:rPr>
              <w:t>16:38:240301:376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C36" w:rsidRPr="00822C36" w:rsidRDefault="00822C36" w:rsidP="001C2AA6">
            <w:pPr>
              <w:ind w:left="460"/>
              <w:rPr>
                <w:sz w:val="28"/>
                <w:szCs w:val="28"/>
              </w:rPr>
            </w:pPr>
            <w:r w:rsidRPr="00822C36">
              <w:rPr>
                <w:sz w:val="28"/>
                <w:szCs w:val="28"/>
              </w:rPr>
              <w:t>2,4722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22C36" w:rsidRDefault="00822C36" w:rsidP="00822C36">
            <w:pPr>
              <w:jc w:val="center"/>
              <w:rPr>
                <w:sz w:val="28"/>
                <w:szCs w:val="28"/>
              </w:rPr>
            </w:pPr>
          </w:p>
        </w:tc>
      </w:tr>
      <w:tr w:rsidR="00822C36" w:rsidTr="00822C36">
        <w:trPr>
          <w:trHeight w:val="381"/>
        </w:trPr>
        <w:tc>
          <w:tcPr>
            <w:tcW w:w="3402" w:type="dxa"/>
            <w:shd w:val="clear" w:color="auto" w:fill="auto"/>
            <w:vAlign w:val="center"/>
          </w:tcPr>
          <w:p w:rsidR="00822C36" w:rsidRPr="001A55CA" w:rsidRDefault="00822C36" w:rsidP="00822C36">
            <w:pPr>
              <w:ind w:left="505"/>
              <w:rPr>
                <w:sz w:val="28"/>
                <w:szCs w:val="28"/>
              </w:rPr>
            </w:pPr>
            <w:r w:rsidRPr="00822C36">
              <w:rPr>
                <w:sz w:val="28"/>
                <w:szCs w:val="28"/>
              </w:rPr>
              <w:t>16:38:240301:379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C36" w:rsidRPr="00822C36" w:rsidRDefault="00822C36" w:rsidP="001C2AA6">
            <w:pPr>
              <w:ind w:left="460"/>
              <w:rPr>
                <w:sz w:val="28"/>
                <w:szCs w:val="28"/>
              </w:rPr>
            </w:pPr>
            <w:r w:rsidRPr="00822C36">
              <w:rPr>
                <w:sz w:val="28"/>
                <w:szCs w:val="28"/>
              </w:rPr>
              <w:t>0,0543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22C36" w:rsidRDefault="00822C36" w:rsidP="00822C36">
            <w:pPr>
              <w:jc w:val="center"/>
              <w:rPr>
                <w:sz w:val="28"/>
                <w:szCs w:val="28"/>
              </w:rPr>
            </w:pPr>
          </w:p>
        </w:tc>
      </w:tr>
      <w:tr w:rsidR="00822C36" w:rsidTr="00822C36">
        <w:trPr>
          <w:trHeight w:val="381"/>
        </w:trPr>
        <w:tc>
          <w:tcPr>
            <w:tcW w:w="3402" w:type="dxa"/>
            <w:shd w:val="clear" w:color="auto" w:fill="auto"/>
            <w:vAlign w:val="center"/>
          </w:tcPr>
          <w:p w:rsidR="00822C36" w:rsidRPr="001A55CA" w:rsidRDefault="00822C36" w:rsidP="00822C36">
            <w:pPr>
              <w:ind w:left="505"/>
              <w:rPr>
                <w:sz w:val="28"/>
                <w:szCs w:val="28"/>
              </w:rPr>
            </w:pPr>
            <w:r w:rsidRPr="00822C36">
              <w:rPr>
                <w:sz w:val="28"/>
                <w:szCs w:val="28"/>
              </w:rPr>
              <w:t>16:38:240301:380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C36" w:rsidRPr="00822C36" w:rsidRDefault="00822C36" w:rsidP="001C2AA6">
            <w:pPr>
              <w:ind w:left="460"/>
              <w:rPr>
                <w:sz w:val="28"/>
                <w:szCs w:val="28"/>
              </w:rPr>
            </w:pPr>
            <w:r w:rsidRPr="00822C36">
              <w:rPr>
                <w:sz w:val="28"/>
                <w:szCs w:val="28"/>
              </w:rPr>
              <w:t>0,2027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822C36" w:rsidRDefault="00822C36" w:rsidP="00822C36">
            <w:pPr>
              <w:jc w:val="center"/>
              <w:rPr>
                <w:sz w:val="28"/>
                <w:szCs w:val="28"/>
              </w:rPr>
            </w:pPr>
          </w:p>
        </w:tc>
      </w:tr>
      <w:tr w:rsidR="00822C36" w:rsidTr="00822C36">
        <w:trPr>
          <w:trHeight w:val="353"/>
        </w:trPr>
        <w:tc>
          <w:tcPr>
            <w:tcW w:w="3402" w:type="dxa"/>
            <w:shd w:val="clear" w:color="auto" w:fill="auto"/>
            <w:vAlign w:val="center"/>
          </w:tcPr>
          <w:p w:rsidR="00822C36" w:rsidRPr="00C76C82" w:rsidRDefault="00822C36" w:rsidP="00822C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2C36" w:rsidRPr="00CD311E" w:rsidRDefault="00822C36" w:rsidP="001C2AA6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7,5816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22C36" w:rsidRPr="00B64D24" w:rsidRDefault="00822C36" w:rsidP="00822C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311E" w:rsidRDefault="00CD311E" w:rsidP="004F6268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Default="00CD311E" w:rsidP="00CD311E">
      <w:pPr>
        <w:rPr>
          <w:sz w:val="28"/>
          <w:szCs w:val="28"/>
        </w:rPr>
      </w:pPr>
    </w:p>
    <w:p w:rsidR="00B6542B" w:rsidRDefault="00B6542B" w:rsidP="00CD311E">
      <w:pPr>
        <w:rPr>
          <w:sz w:val="28"/>
          <w:szCs w:val="28"/>
        </w:rPr>
      </w:pPr>
    </w:p>
    <w:p w:rsidR="00B6542B" w:rsidRPr="00CD311E" w:rsidRDefault="00B6542B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Pr="00CD311E" w:rsidRDefault="00CD311E" w:rsidP="00CD311E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CD311E" w:rsidRDefault="00CD311E" w:rsidP="004F6268">
      <w:pPr>
        <w:rPr>
          <w:sz w:val="28"/>
          <w:szCs w:val="28"/>
        </w:rPr>
      </w:pPr>
    </w:p>
    <w:p w:rsidR="001A55CA" w:rsidRDefault="00CD311E" w:rsidP="004F6268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C02029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1A55C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1A55C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1C2AA6">
        <w:rPr>
          <w:sz w:val="28"/>
          <w:szCs w:val="20"/>
        </w:rPr>
        <w:t>Тетюшском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A55CA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1C2AA6">
        <w:rPr>
          <w:color w:val="000000"/>
          <w:sz w:val="28"/>
          <w:szCs w:val="28"/>
        </w:rPr>
        <w:t>7,5816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FD27AB">
        <w:rPr>
          <w:sz w:val="28"/>
          <w:szCs w:val="28"/>
        </w:rPr>
        <w:t xml:space="preserve">по добыче </w:t>
      </w:r>
      <w:r w:rsidR="001C2AA6">
        <w:rPr>
          <w:sz w:val="28"/>
          <w:szCs w:val="28"/>
        </w:rPr>
        <w:t>известняка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1A55C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CD311E">
        <w:rPr>
          <w:sz w:val="28"/>
          <w:szCs w:val="20"/>
        </w:rPr>
        <w:t>Тетюшского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6535F2" w:rsidRDefault="006535F2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59009B" w:rsidRDefault="0059009B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1A55C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</w:t>
      </w:r>
      <w:r w:rsidR="00CD311E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CD311E">
        <w:rPr>
          <w:sz w:val="28"/>
          <w:szCs w:val="28"/>
        </w:rPr>
        <w:t>ки общей</w:t>
      </w:r>
      <w:r w:rsidR="001A55CA">
        <w:rPr>
          <w:sz w:val="28"/>
          <w:szCs w:val="28"/>
        </w:rPr>
        <w:t xml:space="preserve"> площадью </w:t>
      </w:r>
      <w:r w:rsidR="001C2AA6">
        <w:rPr>
          <w:sz w:val="28"/>
          <w:szCs w:val="28"/>
        </w:rPr>
        <w:t>7,3246 гектара находятся в собственности ООО Агроальянс», земельные участки общей площадью 0,257</w:t>
      </w:r>
      <w:r w:rsidR="001A55CA">
        <w:rPr>
          <w:sz w:val="28"/>
          <w:szCs w:val="28"/>
        </w:rPr>
        <w:t xml:space="preserve"> гектара </w:t>
      </w:r>
      <w:r w:rsidR="001C2AA6">
        <w:rPr>
          <w:sz w:val="28"/>
          <w:szCs w:val="28"/>
        </w:rPr>
        <w:t>–</w:t>
      </w:r>
      <w:r w:rsidR="001A55CA">
        <w:rPr>
          <w:sz w:val="28"/>
          <w:szCs w:val="28"/>
        </w:rPr>
        <w:t xml:space="preserve"> в</w:t>
      </w:r>
      <w:r w:rsidR="00CD311E">
        <w:rPr>
          <w:sz w:val="28"/>
          <w:szCs w:val="28"/>
        </w:rPr>
        <w:t xml:space="preserve"> государственной собственности</w:t>
      </w:r>
      <w:r w:rsidR="001C2AA6">
        <w:rPr>
          <w:sz w:val="28"/>
          <w:szCs w:val="28"/>
        </w:rPr>
        <w:t xml:space="preserve"> и </w:t>
      </w:r>
      <w:r w:rsidR="007D750F">
        <w:rPr>
          <w:sz w:val="28"/>
          <w:szCs w:val="28"/>
        </w:rPr>
        <w:t xml:space="preserve">предоставлены в </w:t>
      </w:r>
      <w:r w:rsidR="001C2AA6">
        <w:rPr>
          <w:sz w:val="28"/>
          <w:szCs w:val="28"/>
        </w:rPr>
        <w:t>постоянное (бессрочное) пользование                      МКУ «Исполнительный комитет Большеатрясского сельского поселения Тетюшского муниципального района Республики Татарстан.</w:t>
      </w:r>
    </w:p>
    <w:p w:rsidR="0059009B" w:rsidRDefault="0059009B" w:rsidP="00C0202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исполнительного комитета </w:t>
      </w:r>
      <w:r w:rsidR="00F4276C">
        <w:rPr>
          <w:sz w:val="28"/>
          <w:szCs w:val="28"/>
        </w:rPr>
        <w:t>Тетюшского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1C2AA6">
        <w:rPr>
          <w:sz w:val="28"/>
          <w:szCs w:val="28"/>
        </w:rPr>
        <w:t>А.А.Гасимова</w:t>
      </w:r>
      <w:r>
        <w:rPr>
          <w:sz w:val="28"/>
          <w:szCs w:val="28"/>
        </w:rPr>
        <w:t xml:space="preserve"> </w:t>
      </w:r>
      <w:r w:rsidR="001C2AA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(от </w:t>
      </w:r>
      <w:r w:rsidR="001C2AA6">
        <w:rPr>
          <w:sz w:val="28"/>
          <w:szCs w:val="28"/>
        </w:rPr>
        <w:t>10.07.2022</w:t>
      </w:r>
      <w:r>
        <w:rPr>
          <w:sz w:val="28"/>
          <w:szCs w:val="28"/>
        </w:rPr>
        <w:t xml:space="preserve"> №</w:t>
      </w:r>
      <w:r w:rsidR="00775F99">
        <w:rPr>
          <w:sz w:val="28"/>
          <w:szCs w:val="28"/>
        </w:rPr>
        <w:t xml:space="preserve"> </w:t>
      </w:r>
      <w:r w:rsidR="001C2AA6">
        <w:rPr>
          <w:sz w:val="28"/>
          <w:szCs w:val="28"/>
        </w:rPr>
        <w:t>2309</w:t>
      </w:r>
      <w:r>
        <w:rPr>
          <w:sz w:val="28"/>
          <w:szCs w:val="28"/>
        </w:rPr>
        <w:t>) размещение объектов недропользования на земельн</w:t>
      </w:r>
      <w:r w:rsidR="00775F99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775F99">
        <w:rPr>
          <w:sz w:val="28"/>
          <w:szCs w:val="28"/>
        </w:rPr>
        <w:t>ах общей</w:t>
      </w:r>
      <w:r>
        <w:rPr>
          <w:sz w:val="28"/>
          <w:szCs w:val="28"/>
        </w:rPr>
        <w:t xml:space="preserve"> площадью </w:t>
      </w:r>
      <w:r w:rsidR="00C02029">
        <w:rPr>
          <w:sz w:val="28"/>
          <w:szCs w:val="28"/>
        </w:rPr>
        <w:t>7,5816</w:t>
      </w:r>
      <w:r w:rsidR="00775F99">
        <w:rPr>
          <w:sz w:val="28"/>
          <w:szCs w:val="28"/>
        </w:rPr>
        <w:t> </w:t>
      </w:r>
      <w:r>
        <w:rPr>
          <w:sz w:val="28"/>
          <w:szCs w:val="28"/>
        </w:rPr>
        <w:t xml:space="preserve">гектара предусмотрено генеральным планом </w:t>
      </w:r>
      <w:r w:rsidR="00C02029">
        <w:rPr>
          <w:sz w:val="28"/>
          <w:szCs w:val="28"/>
        </w:rPr>
        <w:t>Большеатрясского</w:t>
      </w:r>
      <w:r>
        <w:rPr>
          <w:sz w:val="28"/>
          <w:szCs w:val="28"/>
        </w:rPr>
        <w:t xml:space="preserve"> сельского поселения </w:t>
      </w:r>
      <w:r w:rsidR="00F4276C">
        <w:rPr>
          <w:sz w:val="28"/>
          <w:szCs w:val="28"/>
        </w:rPr>
        <w:t>Тетюшского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Совета </w:t>
      </w:r>
      <w:r w:rsidR="00F4276C">
        <w:rPr>
          <w:sz w:val="28"/>
          <w:szCs w:val="28"/>
        </w:rPr>
        <w:t>Тетюшского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F4276C">
        <w:rPr>
          <w:sz w:val="28"/>
          <w:szCs w:val="28"/>
        </w:rPr>
        <w:t>18.04.2022</w:t>
      </w:r>
      <w:r>
        <w:rPr>
          <w:sz w:val="28"/>
          <w:szCs w:val="28"/>
        </w:rPr>
        <w:t xml:space="preserve"> № </w:t>
      </w:r>
      <w:r w:rsidR="00F4276C">
        <w:rPr>
          <w:sz w:val="28"/>
          <w:szCs w:val="28"/>
        </w:rPr>
        <w:t>20-</w:t>
      </w:r>
      <w:r w:rsidR="00C02029">
        <w:rPr>
          <w:sz w:val="28"/>
          <w:szCs w:val="28"/>
        </w:rPr>
        <w:t>1</w:t>
      </w:r>
      <w:r w:rsidR="00F4276C">
        <w:rPr>
          <w:sz w:val="28"/>
          <w:szCs w:val="28"/>
        </w:rPr>
        <w:t>.</w:t>
      </w:r>
    </w:p>
    <w:p w:rsidR="00550DB2" w:rsidRDefault="00F4276C" w:rsidP="00C0202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C02029">
        <w:rPr>
          <w:sz w:val="28"/>
          <w:szCs w:val="28"/>
        </w:rPr>
        <w:t>а</w:t>
      </w:r>
      <w:r w:rsidR="006A7E26">
        <w:rPr>
          <w:sz w:val="28"/>
          <w:szCs w:val="28"/>
        </w:rPr>
        <w:t xml:space="preserve"> к</w:t>
      </w:r>
      <w:r w:rsidR="004F6268" w:rsidRPr="00090006">
        <w:rPr>
          <w:sz w:val="28"/>
          <w:szCs w:val="28"/>
        </w:rPr>
        <w:t>опи</w:t>
      </w:r>
      <w:r w:rsidR="00C02029">
        <w:rPr>
          <w:sz w:val="28"/>
          <w:szCs w:val="28"/>
        </w:rPr>
        <w:t>я</w:t>
      </w:r>
      <w:r w:rsidR="004F6268" w:rsidRPr="00090006">
        <w:rPr>
          <w:sz w:val="28"/>
          <w:szCs w:val="28"/>
        </w:rPr>
        <w:t xml:space="preserve"> лицензи</w:t>
      </w:r>
      <w:r w:rsidR="00C02029">
        <w:rPr>
          <w:sz w:val="28"/>
          <w:szCs w:val="28"/>
        </w:rPr>
        <w:t>и</w:t>
      </w:r>
      <w:r w:rsidR="00346C23">
        <w:rPr>
          <w:sz w:val="28"/>
          <w:szCs w:val="28"/>
        </w:rPr>
        <w:t xml:space="preserve"> на п</w:t>
      </w:r>
      <w:r>
        <w:rPr>
          <w:sz w:val="28"/>
          <w:szCs w:val="28"/>
        </w:rPr>
        <w:t>ользование недрами</w:t>
      </w:r>
      <w:r w:rsidR="00C02029">
        <w:rPr>
          <w:sz w:val="28"/>
          <w:szCs w:val="28"/>
        </w:rPr>
        <w:t xml:space="preserve"> </w:t>
      </w:r>
      <w:r w:rsidR="00CD46F2" w:rsidRPr="002E731B">
        <w:rPr>
          <w:sz w:val="28"/>
          <w:szCs w:val="28"/>
        </w:rPr>
        <w:t xml:space="preserve">ТАТ </w:t>
      </w:r>
      <w:r>
        <w:rPr>
          <w:sz w:val="28"/>
          <w:szCs w:val="28"/>
        </w:rPr>
        <w:t>ТТШ</w:t>
      </w:r>
      <w:r w:rsidR="002E731B">
        <w:rPr>
          <w:sz w:val="28"/>
          <w:szCs w:val="28"/>
        </w:rPr>
        <w:t xml:space="preserve"> </w:t>
      </w:r>
      <w:r w:rsidR="00C02029">
        <w:rPr>
          <w:sz w:val="28"/>
          <w:szCs w:val="28"/>
        </w:rPr>
        <w:t xml:space="preserve">                           </w:t>
      </w:r>
      <w:r w:rsidR="00CD46F2" w:rsidRPr="002E731B">
        <w:rPr>
          <w:sz w:val="28"/>
          <w:szCs w:val="28"/>
        </w:rPr>
        <w:t xml:space="preserve">№ </w:t>
      </w:r>
      <w:r w:rsidR="00C02029">
        <w:rPr>
          <w:sz w:val="28"/>
          <w:szCs w:val="28"/>
        </w:rPr>
        <w:t>01629</w:t>
      </w:r>
      <w:r w:rsidR="00CD46F2" w:rsidRPr="002E731B">
        <w:rPr>
          <w:sz w:val="28"/>
          <w:szCs w:val="28"/>
        </w:rPr>
        <w:t xml:space="preserve"> </w:t>
      </w:r>
      <w:r w:rsidR="002E731B">
        <w:rPr>
          <w:sz w:val="28"/>
          <w:szCs w:val="28"/>
        </w:rPr>
        <w:t>Т</w:t>
      </w:r>
      <w:r w:rsidR="00C02029">
        <w:rPr>
          <w:sz w:val="28"/>
          <w:szCs w:val="28"/>
        </w:rPr>
        <w:t>Э</w:t>
      </w:r>
      <w:r>
        <w:rPr>
          <w:sz w:val="28"/>
          <w:szCs w:val="28"/>
        </w:rPr>
        <w:t>, выданн</w:t>
      </w:r>
      <w:r w:rsidR="007D750F">
        <w:rPr>
          <w:sz w:val="28"/>
          <w:szCs w:val="28"/>
        </w:rPr>
        <w:t>ой</w:t>
      </w:r>
      <w:r>
        <w:rPr>
          <w:sz w:val="28"/>
          <w:szCs w:val="28"/>
        </w:rPr>
        <w:t xml:space="preserve"> ООО «</w:t>
      </w:r>
      <w:r w:rsidR="00C02029">
        <w:rPr>
          <w:sz w:val="28"/>
          <w:szCs w:val="28"/>
        </w:rPr>
        <w:t>Агроальянс</w:t>
      </w:r>
      <w:r>
        <w:rPr>
          <w:sz w:val="28"/>
          <w:szCs w:val="28"/>
        </w:rPr>
        <w:t>»</w:t>
      </w:r>
      <w:r w:rsidR="00CD46F2" w:rsidRPr="002E731B">
        <w:rPr>
          <w:sz w:val="28"/>
          <w:szCs w:val="28"/>
        </w:rPr>
        <w:t xml:space="preserve"> сроком до</w:t>
      </w:r>
      <w:r>
        <w:rPr>
          <w:sz w:val="28"/>
          <w:szCs w:val="28"/>
        </w:rPr>
        <w:t xml:space="preserve"> </w:t>
      </w:r>
      <w:r w:rsidR="00C02029">
        <w:rPr>
          <w:sz w:val="28"/>
          <w:szCs w:val="28"/>
        </w:rPr>
        <w:t>30.11.2032</w:t>
      </w:r>
      <w:r>
        <w:rPr>
          <w:sz w:val="28"/>
          <w:szCs w:val="28"/>
        </w:rPr>
        <w:t>.</w:t>
      </w:r>
    </w:p>
    <w:p w:rsidR="0052437B" w:rsidRPr="00B5338E" w:rsidRDefault="00785422" w:rsidP="00A963D9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22" w:rsidRDefault="00360F22" w:rsidP="00341377">
      <w:r>
        <w:separator/>
      </w:r>
    </w:p>
  </w:endnote>
  <w:endnote w:type="continuationSeparator" w:id="0">
    <w:p w:rsidR="00360F22" w:rsidRDefault="00360F2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22" w:rsidRDefault="00360F22" w:rsidP="00341377">
      <w:r>
        <w:separator/>
      </w:r>
    </w:p>
  </w:footnote>
  <w:footnote w:type="continuationSeparator" w:id="0">
    <w:p w:rsidR="00360F22" w:rsidRDefault="00360F2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0F2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40F1"/>
    <w:rsid w:val="00405985"/>
    <w:rsid w:val="0040626A"/>
    <w:rsid w:val="00412726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1467"/>
    <w:rsid w:val="008C1705"/>
    <w:rsid w:val="008D6D0B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963D9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311E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333D97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4933-C0D0-44B0-9476-EE91037A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13</cp:revision>
  <cp:lastPrinted>2022-09-19T12:43:00Z</cp:lastPrinted>
  <dcterms:created xsi:type="dcterms:W3CDTF">2022-03-04T12:25:00Z</dcterms:created>
  <dcterms:modified xsi:type="dcterms:W3CDTF">2022-10-18T05:19:00Z</dcterms:modified>
</cp:coreProperties>
</file>