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8D1267" w:rsidRPr="008D1267" w:rsidRDefault="008D1267" w:rsidP="008D1267">
      <w:pPr>
        <w:jc w:val="center"/>
        <w:rPr>
          <w:i/>
          <w:color w:val="FF0000"/>
          <w:sz w:val="28"/>
          <w:szCs w:val="28"/>
          <w:u w:val="single"/>
        </w:rPr>
      </w:pPr>
      <w:r w:rsidRPr="008D1267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D1267" w:rsidRPr="008D1267" w:rsidRDefault="008D1267" w:rsidP="008D1267">
      <w:pPr>
        <w:jc w:val="center"/>
        <w:rPr>
          <w:i/>
          <w:color w:val="FF0000"/>
          <w:sz w:val="28"/>
          <w:szCs w:val="28"/>
          <w:u w:val="single"/>
        </w:rPr>
      </w:pPr>
      <w:r w:rsidRPr="008D1267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D1267" w:rsidRPr="008D1267" w:rsidRDefault="008D1267" w:rsidP="008D1267">
      <w:pPr>
        <w:jc w:val="center"/>
        <w:rPr>
          <w:i/>
          <w:color w:val="FF0000"/>
          <w:sz w:val="28"/>
          <w:szCs w:val="28"/>
          <w:u w:val="single"/>
        </w:rPr>
      </w:pPr>
      <w:r w:rsidRPr="008D1267">
        <w:rPr>
          <w:i/>
          <w:color w:val="FF0000"/>
          <w:sz w:val="28"/>
          <w:szCs w:val="28"/>
          <w:u w:val="single"/>
        </w:rPr>
        <w:t>с 14 ноября по 21 ноября 2022 года включительно.</w:t>
      </w:r>
    </w:p>
    <w:p w:rsidR="008D1267" w:rsidRPr="008D1267" w:rsidRDefault="008D1267" w:rsidP="008D1267">
      <w:pPr>
        <w:jc w:val="center"/>
        <w:rPr>
          <w:i/>
          <w:color w:val="FF0000"/>
          <w:sz w:val="28"/>
          <w:szCs w:val="28"/>
          <w:u w:val="single"/>
        </w:rPr>
      </w:pPr>
      <w:r w:rsidRPr="008D1267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8D1267" w:rsidRPr="008D1267" w:rsidRDefault="008D1267" w:rsidP="008D1267">
      <w:pPr>
        <w:jc w:val="center"/>
        <w:rPr>
          <w:i/>
          <w:color w:val="FF0000"/>
          <w:sz w:val="28"/>
          <w:szCs w:val="28"/>
          <w:u w:val="single"/>
        </w:rPr>
      </w:pPr>
      <w:r w:rsidRPr="008D1267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8D1267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8D1267">
        <w:rPr>
          <w:i/>
          <w:color w:val="FF0000"/>
          <w:sz w:val="28"/>
          <w:szCs w:val="28"/>
          <w:u w:val="single"/>
        </w:rPr>
        <w:t>)</w:t>
      </w:r>
    </w:p>
    <w:p w:rsidR="008D1267" w:rsidRPr="004F6268" w:rsidRDefault="008D1267" w:rsidP="008D1267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3B5946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3B5946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6542B" w:rsidRDefault="004F6268" w:rsidP="00CD311E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B83C1E">
        <w:rPr>
          <w:sz w:val="28"/>
          <w:szCs w:val="20"/>
        </w:rPr>
        <w:t>Азнакаевском, Лаишевском</w:t>
      </w:r>
      <w:r w:rsidR="00B6542B">
        <w:rPr>
          <w:sz w:val="28"/>
          <w:szCs w:val="20"/>
        </w:rPr>
        <w:t xml:space="preserve"> </w:t>
      </w:r>
    </w:p>
    <w:p w:rsidR="00CD311E" w:rsidRDefault="00B6542B" w:rsidP="00CD311E">
      <w:pPr>
        <w:rPr>
          <w:sz w:val="28"/>
          <w:szCs w:val="28"/>
        </w:rPr>
      </w:pPr>
      <w:r>
        <w:rPr>
          <w:sz w:val="28"/>
          <w:szCs w:val="20"/>
        </w:rPr>
        <w:t>муниципальных районах</w:t>
      </w:r>
      <w:r w:rsidR="00CD311E">
        <w:rPr>
          <w:sz w:val="28"/>
          <w:szCs w:val="20"/>
        </w:rPr>
        <w:t xml:space="preserve"> 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B6542B" w:rsidRDefault="00761CF8" w:rsidP="00B6542B">
      <w:pPr>
        <w:ind w:right="21" w:firstLine="709"/>
        <w:jc w:val="both"/>
        <w:rPr>
          <w:sz w:val="28"/>
        </w:rPr>
      </w:pPr>
      <w:r w:rsidRPr="00B6542B">
        <w:rPr>
          <w:sz w:val="28"/>
        </w:rPr>
        <w:t>п</w:t>
      </w:r>
      <w:r w:rsidR="004F6268" w:rsidRPr="00B6542B">
        <w:rPr>
          <w:sz w:val="28"/>
        </w:rPr>
        <w:t>еревести земельн</w:t>
      </w:r>
      <w:r w:rsidR="003B5946" w:rsidRPr="00B6542B">
        <w:rPr>
          <w:sz w:val="28"/>
        </w:rPr>
        <w:t>ые</w:t>
      </w:r>
      <w:r w:rsidR="004F6268" w:rsidRPr="00B6542B">
        <w:rPr>
          <w:sz w:val="28"/>
        </w:rPr>
        <w:t xml:space="preserve"> участ</w:t>
      </w:r>
      <w:r w:rsidR="003B5946" w:rsidRPr="00B6542B">
        <w:rPr>
          <w:sz w:val="28"/>
        </w:rPr>
        <w:t>ки</w:t>
      </w:r>
      <w:r w:rsidR="004F6268" w:rsidRPr="00B6542B">
        <w:rPr>
          <w:sz w:val="28"/>
        </w:rPr>
        <w:t xml:space="preserve"> сельскохозяйственного назначения </w:t>
      </w:r>
      <w:r w:rsidR="007D750F">
        <w:rPr>
          <w:sz w:val="28"/>
        </w:rPr>
        <w:t xml:space="preserve">согласно </w:t>
      </w:r>
      <w:r w:rsidR="008D1267">
        <w:rPr>
          <w:sz w:val="28"/>
        </w:rPr>
        <w:t>приложению,</w:t>
      </w:r>
      <w:r w:rsidR="007D750F">
        <w:rPr>
          <w:sz w:val="28"/>
        </w:rPr>
        <w:t xml:space="preserve"> </w:t>
      </w:r>
      <w:r w:rsidR="005A0EA4" w:rsidRPr="00B6542B">
        <w:rPr>
          <w:sz w:val="28"/>
        </w:rPr>
        <w:t>общей площадью</w:t>
      </w:r>
      <w:r w:rsidR="00B94212" w:rsidRPr="00B6542B">
        <w:rPr>
          <w:sz w:val="28"/>
        </w:rPr>
        <w:t xml:space="preserve"> </w:t>
      </w:r>
      <w:r w:rsidR="00C93EE7">
        <w:rPr>
          <w:sz w:val="28"/>
        </w:rPr>
        <w:t>23</w:t>
      </w:r>
      <w:r w:rsidR="00B83C1E">
        <w:rPr>
          <w:sz w:val="28"/>
        </w:rPr>
        <w:t>,961</w:t>
      </w:r>
      <w:r w:rsidR="005A0EA4" w:rsidRPr="00B6542B">
        <w:rPr>
          <w:sz w:val="28"/>
        </w:rPr>
        <w:t xml:space="preserve"> </w:t>
      </w:r>
      <w:r w:rsidR="004F6268" w:rsidRPr="00B6542B">
        <w:rPr>
          <w:sz w:val="28"/>
        </w:rPr>
        <w:t>гектара, расположенны</w:t>
      </w:r>
      <w:r w:rsidR="003B5946" w:rsidRPr="00B6542B">
        <w:rPr>
          <w:sz w:val="28"/>
        </w:rPr>
        <w:t>е</w:t>
      </w:r>
      <w:r w:rsidR="00B6542B" w:rsidRPr="00B6542B">
        <w:rPr>
          <w:sz w:val="28"/>
        </w:rPr>
        <w:t xml:space="preserve"> в </w:t>
      </w:r>
      <w:r w:rsidR="00B83C1E">
        <w:rPr>
          <w:sz w:val="28"/>
          <w:szCs w:val="20"/>
        </w:rPr>
        <w:t>Азнакаевском, Лаишевском</w:t>
      </w:r>
      <w:r w:rsidR="00B83C1E">
        <w:rPr>
          <w:sz w:val="28"/>
        </w:rPr>
        <w:t xml:space="preserve"> </w:t>
      </w:r>
      <w:r w:rsidR="00B6542B" w:rsidRPr="00B6542B">
        <w:rPr>
          <w:sz w:val="28"/>
        </w:rPr>
        <w:t xml:space="preserve">муниципальных районах </w:t>
      </w:r>
      <w:r w:rsidR="004F6268" w:rsidRPr="00B6542B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40310" w:rsidP="004F6268">
      <w:pPr>
        <w:rPr>
          <w:sz w:val="28"/>
          <w:szCs w:val="28"/>
        </w:rPr>
      </w:pPr>
      <w:r>
        <w:rPr>
          <w:sz w:val="28"/>
          <w:szCs w:val="28"/>
        </w:rPr>
        <w:t>И.о.м</w:t>
      </w:r>
      <w:r w:rsidR="004F6268"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840310">
        <w:rPr>
          <w:sz w:val="28"/>
          <w:szCs w:val="28"/>
        </w:rPr>
        <w:t>А.И.Галиев</w:t>
      </w:r>
    </w:p>
    <w:p w:rsidR="001A55CA" w:rsidRDefault="001A55CA" w:rsidP="004F6268">
      <w:pPr>
        <w:rPr>
          <w:sz w:val="28"/>
          <w:szCs w:val="28"/>
        </w:rPr>
      </w:pP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bookmarkStart w:id="0" w:name="_GoBack"/>
      <w:bookmarkEnd w:id="0"/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1A55CA" w:rsidRPr="001A55CA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EB0BAF">
        <w:rPr>
          <w:rFonts w:ascii="Times New Roman" w:hAnsi="Times New Roman"/>
          <w:color w:val="0D0D0D"/>
          <w:sz w:val="28"/>
          <w:szCs w:val="28"/>
        </w:rPr>
        <w:t>2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Pr="001D462F" w:rsidRDefault="001A55CA" w:rsidP="001A55C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1A55CA" w:rsidRPr="001D462F" w:rsidRDefault="001A55CA" w:rsidP="001A55CA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1A55CA" w:rsidRPr="001D462F" w:rsidRDefault="001A55CA" w:rsidP="001A55C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1A55CA" w:rsidRDefault="001A55CA" w:rsidP="001A55C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3827"/>
      </w:tblGrid>
      <w:tr w:rsidR="001A55CA" w:rsidTr="00B83C1E">
        <w:trPr>
          <w:trHeight w:val="1131"/>
        </w:trPr>
        <w:tc>
          <w:tcPr>
            <w:tcW w:w="3402" w:type="dxa"/>
            <w:shd w:val="clear" w:color="auto" w:fill="auto"/>
            <w:vAlign w:val="center"/>
          </w:tcPr>
          <w:p w:rsidR="001A55CA" w:rsidRPr="00FB43E6" w:rsidRDefault="001A55CA" w:rsidP="00B83C1E">
            <w:pPr>
              <w:ind w:left="505"/>
              <w:rPr>
                <w:sz w:val="28"/>
                <w:szCs w:val="28"/>
              </w:rPr>
            </w:pPr>
            <w:r w:rsidRPr="00FB43E6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55CA" w:rsidRDefault="001A55CA" w:rsidP="00B83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Площадь,</w:t>
            </w:r>
          </w:p>
          <w:p w:rsidR="001A55CA" w:rsidRPr="00FB43E6" w:rsidRDefault="001A55CA" w:rsidP="00B83C1E">
            <w:pPr>
              <w:jc w:val="center"/>
              <w:rPr>
                <w:sz w:val="28"/>
                <w:szCs w:val="28"/>
              </w:rPr>
            </w:pPr>
            <w:r w:rsidRPr="00FB43E6">
              <w:rPr>
                <w:sz w:val="28"/>
                <w:szCs w:val="28"/>
              </w:rPr>
              <w:t>гектаров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55CA" w:rsidRPr="00FB43E6" w:rsidRDefault="001A55CA" w:rsidP="00B83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FB43E6">
              <w:rPr>
                <w:sz w:val="28"/>
                <w:szCs w:val="28"/>
              </w:rPr>
              <w:t>муниципального района</w:t>
            </w:r>
          </w:p>
        </w:tc>
      </w:tr>
      <w:tr w:rsidR="00B83C1E" w:rsidTr="00EA469B">
        <w:trPr>
          <w:trHeight w:val="243"/>
        </w:trPr>
        <w:tc>
          <w:tcPr>
            <w:tcW w:w="3402" w:type="dxa"/>
            <w:shd w:val="clear" w:color="auto" w:fill="auto"/>
            <w:vAlign w:val="center"/>
          </w:tcPr>
          <w:p w:rsidR="00B83C1E" w:rsidRPr="00FB43E6" w:rsidRDefault="00B83C1E" w:rsidP="00B83C1E">
            <w:pPr>
              <w:ind w:left="505"/>
              <w:rPr>
                <w:sz w:val="28"/>
                <w:szCs w:val="28"/>
              </w:rPr>
            </w:pPr>
            <w:r w:rsidRPr="00B83C1E">
              <w:rPr>
                <w:sz w:val="28"/>
                <w:szCs w:val="28"/>
              </w:rPr>
              <w:t>16:02:160203:290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C1E" w:rsidRPr="00B83C1E" w:rsidRDefault="00B83C1E" w:rsidP="00B83C1E">
            <w:pPr>
              <w:jc w:val="center"/>
              <w:rPr>
                <w:sz w:val="28"/>
              </w:rPr>
            </w:pPr>
            <w:r w:rsidRPr="00B83C1E">
              <w:rPr>
                <w:sz w:val="28"/>
              </w:rPr>
              <w:t>12,6106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C1E" w:rsidRPr="00B83C1E" w:rsidRDefault="00B83C1E" w:rsidP="00B83C1E">
            <w:pPr>
              <w:jc w:val="center"/>
              <w:rPr>
                <w:sz w:val="28"/>
              </w:rPr>
            </w:pPr>
            <w:r w:rsidRPr="00B83C1E">
              <w:rPr>
                <w:sz w:val="28"/>
              </w:rPr>
              <w:t>Азнакаевский</w:t>
            </w:r>
          </w:p>
        </w:tc>
      </w:tr>
      <w:tr w:rsidR="00581E8D" w:rsidTr="00581E8D">
        <w:trPr>
          <w:trHeight w:val="346"/>
        </w:trPr>
        <w:tc>
          <w:tcPr>
            <w:tcW w:w="3402" w:type="dxa"/>
            <w:shd w:val="clear" w:color="auto" w:fill="auto"/>
            <w:vAlign w:val="center"/>
          </w:tcPr>
          <w:p w:rsidR="00581E8D" w:rsidRPr="00FB43E6" w:rsidRDefault="00581E8D" w:rsidP="00B83C1E">
            <w:pPr>
              <w:ind w:left="505"/>
              <w:rPr>
                <w:sz w:val="28"/>
                <w:szCs w:val="28"/>
              </w:rPr>
            </w:pPr>
            <w:r w:rsidRPr="00B83C1E">
              <w:rPr>
                <w:sz w:val="28"/>
                <w:szCs w:val="28"/>
              </w:rPr>
              <w:t>16:24:100503:45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1E8D" w:rsidRPr="00B83C1E" w:rsidRDefault="00581E8D" w:rsidP="00B83C1E">
            <w:pPr>
              <w:jc w:val="center"/>
              <w:rPr>
                <w:sz w:val="28"/>
              </w:rPr>
            </w:pPr>
            <w:r w:rsidRPr="00B83C1E">
              <w:rPr>
                <w:sz w:val="28"/>
              </w:rPr>
              <w:t>1,3504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E8D" w:rsidRPr="00B83C1E" w:rsidRDefault="00581E8D" w:rsidP="00581E8D">
            <w:pPr>
              <w:jc w:val="center"/>
              <w:rPr>
                <w:sz w:val="28"/>
              </w:rPr>
            </w:pPr>
            <w:r w:rsidRPr="00B83C1E">
              <w:rPr>
                <w:sz w:val="28"/>
              </w:rPr>
              <w:t>Лаишевский</w:t>
            </w:r>
          </w:p>
        </w:tc>
      </w:tr>
      <w:tr w:rsidR="00581E8D" w:rsidTr="00DA285A">
        <w:trPr>
          <w:trHeight w:val="346"/>
        </w:trPr>
        <w:tc>
          <w:tcPr>
            <w:tcW w:w="3402" w:type="dxa"/>
            <w:shd w:val="clear" w:color="auto" w:fill="auto"/>
            <w:vAlign w:val="center"/>
          </w:tcPr>
          <w:p w:rsidR="00581E8D" w:rsidRPr="00B83C1E" w:rsidRDefault="00581E8D" w:rsidP="00581E8D">
            <w:pPr>
              <w:ind w:left="505"/>
              <w:rPr>
                <w:sz w:val="28"/>
                <w:szCs w:val="28"/>
              </w:rPr>
            </w:pPr>
            <w:r w:rsidRPr="00C93EE7">
              <w:rPr>
                <w:sz w:val="28"/>
                <w:szCs w:val="28"/>
              </w:rPr>
              <w:t>16:24:070801:1878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1E8D" w:rsidRPr="00C93EE7" w:rsidRDefault="00581E8D" w:rsidP="00581E8D">
            <w:pPr>
              <w:jc w:val="center"/>
              <w:rPr>
                <w:sz w:val="28"/>
              </w:rPr>
            </w:pPr>
            <w:r w:rsidRPr="00C93EE7">
              <w:rPr>
                <w:sz w:val="28"/>
              </w:rPr>
              <w:t>4,3826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1E8D" w:rsidRPr="00B83C1E" w:rsidRDefault="00581E8D" w:rsidP="00581E8D">
            <w:pPr>
              <w:jc w:val="center"/>
              <w:rPr>
                <w:sz w:val="28"/>
              </w:rPr>
            </w:pPr>
          </w:p>
        </w:tc>
      </w:tr>
      <w:tr w:rsidR="00581E8D" w:rsidTr="00DA285A">
        <w:trPr>
          <w:trHeight w:val="346"/>
        </w:trPr>
        <w:tc>
          <w:tcPr>
            <w:tcW w:w="3402" w:type="dxa"/>
            <w:shd w:val="clear" w:color="auto" w:fill="auto"/>
            <w:vAlign w:val="center"/>
          </w:tcPr>
          <w:p w:rsidR="00581E8D" w:rsidRPr="00B83C1E" w:rsidRDefault="00581E8D" w:rsidP="00581E8D">
            <w:pPr>
              <w:ind w:left="505"/>
              <w:rPr>
                <w:sz w:val="28"/>
                <w:szCs w:val="28"/>
              </w:rPr>
            </w:pPr>
            <w:r w:rsidRPr="00C93EE7">
              <w:rPr>
                <w:sz w:val="28"/>
                <w:szCs w:val="28"/>
              </w:rPr>
              <w:t>16:24:070801:2224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1E8D" w:rsidRPr="00C93EE7" w:rsidRDefault="00581E8D" w:rsidP="00581E8D">
            <w:pPr>
              <w:jc w:val="center"/>
              <w:rPr>
                <w:sz w:val="28"/>
              </w:rPr>
            </w:pPr>
            <w:r w:rsidRPr="00C93EE7">
              <w:rPr>
                <w:sz w:val="28"/>
              </w:rPr>
              <w:t>5,6174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1E8D" w:rsidRPr="00B83C1E" w:rsidRDefault="00581E8D" w:rsidP="00581E8D">
            <w:pPr>
              <w:jc w:val="center"/>
              <w:rPr>
                <w:sz w:val="28"/>
              </w:rPr>
            </w:pPr>
          </w:p>
        </w:tc>
      </w:tr>
      <w:tr w:rsidR="00581E8D" w:rsidTr="00B83C1E">
        <w:trPr>
          <w:trHeight w:val="353"/>
        </w:trPr>
        <w:tc>
          <w:tcPr>
            <w:tcW w:w="3402" w:type="dxa"/>
            <w:shd w:val="clear" w:color="auto" w:fill="auto"/>
            <w:vAlign w:val="center"/>
          </w:tcPr>
          <w:p w:rsidR="00581E8D" w:rsidRPr="00C76C82" w:rsidRDefault="00581E8D" w:rsidP="00581E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1E8D" w:rsidRPr="00CD311E" w:rsidRDefault="00581E8D" w:rsidP="00581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23,961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1E8D" w:rsidRPr="00B64D24" w:rsidRDefault="00581E8D" w:rsidP="00581E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311E" w:rsidRDefault="00CD311E" w:rsidP="004F6268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Default="00CD311E" w:rsidP="00CD311E">
      <w:pPr>
        <w:rPr>
          <w:sz w:val="28"/>
          <w:szCs w:val="28"/>
        </w:rPr>
      </w:pPr>
    </w:p>
    <w:p w:rsidR="00B6542B" w:rsidRDefault="00B6542B" w:rsidP="00CD311E">
      <w:pPr>
        <w:rPr>
          <w:sz w:val="28"/>
          <w:szCs w:val="28"/>
        </w:rPr>
      </w:pPr>
    </w:p>
    <w:p w:rsidR="00B6542B" w:rsidRPr="00CD311E" w:rsidRDefault="00B6542B" w:rsidP="00CD311E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Default="00CD311E" w:rsidP="004F6268">
      <w:pPr>
        <w:rPr>
          <w:sz w:val="28"/>
          <w:szCs w:val="28"/>
        </w:rPr>
      </w:pPr>
    </w:p>
    <w:p w:rsidR="00CD311E" w:rsidRDefault="00CD311E" w:rsidP="004F6268">
      <w:pPr>
        <w:rPr>
          <w:sz w:val="28"/>
          <w:szCs w:val="28"/>
        </w:rPr>
      </w:pPr>
    </w:p>
    <w:p w:rsidR="00CD311E" w:rsidRDefault="00CD311E" w:rsidP="004F6268">
      <w:pPr>
        <w:rPr>
          <w:sz w:val="28"/>
          <w:szCs w:val="28"/>
        </w:rPr>
      </w:pPr>
    </w:p>
    <w:p w:rsidR="001A55CA" w:rsidRDefault="00CD311E" w:rsidP="004F6268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A55CA" w:rsidRDefault="001A55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1A55CA">
        <w:rPr>
          <w:sz w:val="28"/>
          <w:szCs w:val="28"/>
        </w:rPr>
        <w:t>ых</w:t>
      </w:r>
      <w:r w:rsidRPr="004F6268">
        <w:rPr>
          <w:sz w:val="28"/>
          <w:szCs w:val="28"/>
        </w:rPr>
        <w:t xml:space="preserve"> участк</w:t>
      </w:r>
      <w:r w:rsidR="001A55CA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B83C1E">
        <w:rPr>
          <w:sz w:val="28"/>
          <w:szCs w:val="20"/>
        </w:rPr>
        <w:t>Азнакаевском, Лаишевском</w:t>
      </w:r>
      <w:r w:rsidR="007D750F" w:rsidRPr="00B6542B">
        <w:rPr>
          <w:sz w:val="28"/>
        </w:rPr>
        <w:t xml:space="preserve"> муниципальных районах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1A55C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1A55CA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581E8D">
        <w:rPr>
          <w:color w:val="000000"/>
          <w:sz w:val="28"/>
          <w:szCs w:val="28"/>
        </w:rPr>
        <w:t>2</w:t>
      </w:r>
      <w:r w:rsidR="00B83C1E">
        <w:rPr>
          <w:color w:val="000000"/>
          <w:sz w:val="28"/>
          <w:szCs w:val="28"/>
        </w:rPr>
        <w:t>3,961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1A55C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в целях недропользования – </w:t>
      </w:r>
      <w:r w:rsidR="00B83C1E">
        <w:rPr>
          <w:sz w:val="28"/>
          <w:szCs w:val="28"/>
        </w:rPr>
        <w:t>для разведки и добычи песка и песчано-гравийных парод на мест</w:t>
      </w:r>
      <w:r w:rsidR="00581E8D">
        <w:rPr>
          <w:sz w:val="28"/>
          <w:szCs w:val="28"/>
        </w:rPr>
        <w:t xml:space="preserve">орождении «Нижне-Старлинское», </w:t>
      </w:r>
      <w:r w:rsidR="00920174">
        <w:rPr>
          <w:sz w:val="28"/>
          <w:szCs w:val="28"/>
        </w:rPr>
        <w:t xml:space="preserve">для </w:t>
      </w:r>
      <w:r w:rsidR="00B83C1E">
        <w:rPr>
          <w:sz w:val="28"/>
          <w:szCs w:val="28"/>
        </w:rPr>
        <w:t>геологического изучения, разведки и добычи глин, при</w:t>
      </w:r>
      <w:r w:rsidR="00147C4E">
        <w:rPr>
          <w:sz w:val="28"/>
          <w:szCs w:val="28"/>
        </w:rPr>
        <w:t xml:space="preserve">годных для производства керамзита на участке </w:t>
      </w:r>
      <w:r w:rsidR="007A20E3">
        <w:rPr>
          <w:sz w:val="28"/>
          <w:szCs w:val="28"/>
        </w:rPr>
        <w:t>недр «</w:t>
      </w:r>
      <w:r w:rsidR="00147C4E">
        <w:rPr>
          <w:sz w:val="28"/>
          <w:szCs w:val="28"/>
        </w:rPr>
        <w:t>Емельяновское месторождение и северо-восточный фланг»</w:t>
      </w:r>
      <w:r w:rsidR="00581E8D">
        <w:rPr>
          <w:sz w:val="28"/>
          <w:szCs w:val="28"/>
        </w:rPr>
        <w:t xml:space="preserve"> и для разведки и добычи карбонатных пород западной части Бимского месторождения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1A55CA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 </w:t>
      </w:r>
      <w:r w:rsidR="00147C4E">
        <w:rPr>
          <w:sz w:val="28"/>
          <w:szCs w:val="20"/>
        </w:rPr>
        <w:t>Азнакаевского, Лаишевского</w:t>
      </w:r>
      <w:r w:rsidR="00147C4E" w:rsidRPr="00B6542B">
        <w:rPr>
          <w:sz w:val="28"/>
        </w:rPr>
        <w:t xml:space="preserve"> </w:t>
      </w:r>
      <w:r w:rsidR="00CD311E">
        <w:rPr>
          <w:sz w:val="28"/>
          <w:szCs w:val="20"/>
        </w:rPr>
        <w:t>муниципальн</w:t>
      </w:r>
      <w:r w:rsidR="007D750F">
        <w:rPr>
          <w:sz w:val="28"/>
          <w:szCs w:val="20"/>
        </w:rPr>
        <w:t>ых</w:t>
      </w:r>
      <w:r w:rsidR="00CD311E">
        <w:rPr>
          <w:sz w:val="28"/>
          <w:szCs w:val="20"/>
        </w:rPr>
        <w:t xml:space="preserve"> район</w:t>
      </w:r>
      <w:r w:rsidR="007D750F">
        <w:rPr>
          <w:sz w:val="28"/>
          <w:szCs w:val="20"/>
        </w:rPr>
        <w:t>ов</w:t>
      </w:r>
      <w:r w:rsidR="00CD311E">
        <w:rPr>
          <w:sz w:val="28"/>
          <w:szCs w:val="20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6535F2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59009B" w:rsidRDefault="0059009B" w:rsidP="006535F2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1A55CA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</w:t>
      </w:r>
      <w:r w:rsidR="00CD311E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</w:t>
      </w:r>
      <w:r w:rsidR="00CD311E">
        <w:rPr>
          <w:sz w:val="28"/>
          <w:szCs w:val="28"/>
        </w:rPr>
        <w:t>ки общей</w:t>
      </w:r>
      <w:r w:rsidR="001A55CA">
        <w:rPr>
          <w:sz w:val="28"/>
          <w:szCs w:val="28"/>
        </w:rPr>
        <w:t xml:space="preserve"> площадью </w:t>
      </w:r>
      <w:r w:rsidR="007A20E3">
        <w:rPr>
          <w:sz w:val="28"/>
          <w:szCs w:val="28"/>
        </w:rPr>
        <w:t>13,961</w:t>
      </w:r>
      <w:r w:rsidR="001A55CA">
        <w:rPr>
          <w:sz w:val="28"/>
          <w:szCs w:val="28"/>
        </w:rPr>
        <w:t xml:space="preserve"> гектара наход</w:t>
      </w:r>
      <w:r w:rsidR="00CD311E">
        <w:rPr>
          <w:sz w:val="28"/>
          <w:szCs w:val="28"/>
        </w:rPr>
        <w:t>я</w:t>
      </w:r>
      <w:r w:rsidR="001A55CA">
        <w:rPr>
          <w:sz w:val="28"/>
          <w:szCs w:val="28"/>
        </w:rPr>
        <w:t>тся в</w:t>
      </w:r>
      <w:r w:rsidR="00CD311E">
        <w:rPr>
          <w:sz w:val="28"/>
          <w:szCs w:val="28"/>
        </w:rPr>
        <w:t xml:space="preserve"> </w:t>
      </w:r>
      <w:r w:rsidR="007A20E3">
        <w:rPr>
          <w:sz w:val="28"/>
          <w:szCs w:val="28"/>
        </w:rPr>
        <w:t xml:space="preserve">неразграниченной </w:t>
      </w:r>
      <w:r w:rsidR="00581E8D">
        <w:rPr>
          <w:sz w:val="28"/>
          <w:szCs w:val="28"/>
        </w:rPr>
        <w:t>собственности,                         10 гектаров – в собственности ООО «Промнеруд»</w:t>
      </w:r>
      <w:r w:rsidR="007A20E3">
        <w:rPr>
          <w:sz w:val="28"/>
          <w:szCs w:val="28"/>
        </w:rPr>
        <w:t>.</w:t>
      </w:r>
    </w:p>
    <w:p w:rsidR="007D750F" w:rsidRPr="000852D0" w:rsidRDefault="007D750F" w:rsidP="00653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руководителя исполнительного комитета </w:t>
      </w:r>
      <w:r w:rsidR="007A20E3">
        <w:rPr>
          <w:sz w:val="28"/>
          <w:szCs w:val="28"/>
        </w:rPr>
        <w:t>Азнакаевского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7A20E3">
        <w:rPr>
          <w:sz w:val="28"/>
          <w:szCs w:val="28"/>
        </w:rPr>
        <w:t>А.Х.Шамсутдинова (</w:t>
      </w:r>
      <w:r>
        <w:rPr>
          <w:sz w:val="28"/>
          <w:szCs w:val="28"/>
        </w:rPr>
        <w:t xml:space="preserve">от </w:t>
      </w:r>
      <w:r w:rsidR="007A20E3">
        <w:rPr>
          <w:sz w:val="28"/>
          <w:szCs w:val="28"/>
        </w:rPr>
        <w:t>03.10.2022</w:t>
      </w:r>
      <w:r>
        <w:rPr>
          <w:sz w:val="28"/>
          <w:szCs w:val="28"/>
        </w:rPr>
        <w:t xml:space="preserve"> № </w:t>
      </w:r>
      <w:r w:rsidR="007A20E3">
        <w:rPr>
          <w:sz w:val="28"/>
          <w:szCs w:val="28"/>
        </w:rPr>
        <w:t>3705</w:t>
      </w:r>
      <w:r>
        <w:rPr>
          <w:sz w:val="28"/>
          <w:szCs w:val="28"/>
        </w:rPr>
        <w:t>) размещение объектов недропользования на земельн</w:t>
      </w:r>
      <w:r w:rsidR="007A20E3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7A20E3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площадью </w:t>
      </w:r>
      <w:r w:rsidR="007A20E3">
        <w:rPr>
          <w:sz w:val="28"/>
          <w:szCs w:val="28"/>
        </w:rPr>
        <w:t>12,6106</w:t>
      </w:r>
      <w:r>
        <w:rPr>
          <w:sz w:val="28"/>
          <w:szCs w:val="28"/>
        </w:rPr>
        <w:t xml:space="preserve"> гектара предусмотрено генеральным планом </w:t>
      </w:r>
      <w:r w:rsidR="007A20E3">
        <w:rPr>
          <w:sz w:val="28"/>
          <w:szCs w:val="28"/>
        </w:rPr>
        <w:t>Нижне-Стярлинского</w:t>
      </w:r>
      <w:r>
        <w:rPr>
          <w:sz w:val="28"/>
          <w:szCs w:val="28"/>
        </w:rPr>
        <w:t xml:space="preserve"> сельского поселения </w:t>
      </w:r>
      <w:r w:rsidR="007A20E3">
        <w:rPr>
          <w:sz w:val="28"/>
          <w:szCs w:val="28"/>
        </w:rPr>
        <w:t>Азнакаевского</w:t>
      </w:r>
      <w:r>
        <w:rPr>
          <w:sz w:val="28"/>
          <w:szCs w:val="28"/>
        </w:rPr>
        <w:t xml:space="preserve"> муниципального района Республики Татарстан, утвержденным решением </w:t>
      </w:r>
      <w:r w:rsidR="007A20E3">
        <w:rPr>
          <w:sz w:val="28"/>
          <w:szCs w:val="28"/>
        </w:rPr>
        <w:t xml:space="preserve">Азнакаевского районного </w:t>
      </w:r>
      <w:r>
        <w:rPr>
          <w:sz w:val="28"/>
          <w:szCs w:val="28"/>
        </w:rPr>
        <w:t xml:space="preserve">Совета Республики Татарстан от </w:t>
      </w:r>
      <w:r w:rsidR="007A20E3">
        <w:rPr>
          <w:sz w:val="28"/>
          <w:szCs w:val="28"/>
        </w:rPr>
        <w:t>12.03.2020</w:t>
      </w:r>
      <w:r>
        <w:rPr>
          <w:sz w:val="28"/>
          <w:szCs w:val="28"/>
        </w:rPr>
        <w:t xml:space="preserve"> № </w:t>
      </w:r>
      <w:r w:rsidR="007A20E3">
        <w:rPr>
          <w:sz w:val="28"/>
          <w:szCs w:val="28"/>
        </w:rPr>
        <w:t>330-45</w:t>
      </w:r>
      <w:r>
        <w:rPr>
          <w:sz w:val="28"/>
          <w:szCs w:val="28"/>
        </w:rPr>
        <w:t>.</w:t>
      </w:r>
    </w:p>
    <w:p w:rsidR="0059009B" w:rsidRDefault="0059009B" w:rsidP="002E7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581E8D">
        <w:rPr>
          <w:sz w:val="28"/>
          <w:szCs w:val="28"/>
        </w:rPr>
        <w:t>ем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 исполнительного комитета </w:t>
      </w:r>
      <w:r w:rsidR="007A20E3">
        <w:rPr>
          <w:sz w:val="28"/>
          <w:szCs w:val="28"/>
        </w:rPr>
        <w:t xml:space="preserve">Лаишевского </w:t>
      </w:r>
      <w:r>
        <w:rPr>
          <w:sz w:val="28"/>
          <w:szCs w:val="28"/>
        </w:rPr>
        <w:t xml:space="preserve">муниципального района Республики Татарстан </w:t>
      </w:r>
      <w:r w:rsidR="007A20E3">
        <w:rPr>
          <w:sz w:val="28"/>
          <w:szCs w:val="28"/>
        </w:rPr>
        <w:t>А.А.Новикова</w:t>
      </w:r>
      <w:r>
        <w:rPr>
          <w:sz w:val="28"/>
          <w:szCs w:val="28"/>
        </w:rPr>
        <w:t xml:space="preserve"> </w:t>
      </w:r>
      <w:r w:rsidR="00D74DF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(от </w:t>
      </w:r>
      <w:r w:rsidR="00D74DF3">
        <w:rPr>
          <w:sz w:val="28"/>
          <w:szCs w:val="28"/>
        </w:rPr>
        <w:t>19.09.2022</w:t>
      </w:r>
      <w:r>
        <w:rPr>
          <w:sz w:val="28"/>
          <w:szCs w:val="28"/>
        </w:rPr>
        <w:t xml:space="preserve"> №</w:t>
      </w:r>
      <w:r w:rsidR="00775F99">
        <w:rPr>
          <w:sz w:val="28"/>
          <w:szCs w:val="28"/>
        </w:rPr>
        <w:t xml:space="preserve"> </w:t>
      </w:r>
      <w:r w:rsidR="00D74DF3">
        <w:rPr>
          <w:sz w:val="28"/>
          <w:szCs w:val="28"/>
        </w:rPr>
        <w:t>6341/исх</w:t>
      </w:r>
      <w:r w:rsidR="00581E8D">
        <w:rPr>
          <w:sz w:val="28"/>
          <w:szCs w:val="28"/>
        </w:rPr>
        <w:t>, 29.09.2022 № 6703/исх</w:t>
      </w:r>
      <w:r>
        <w:rPr>
          <w:sz w:val="28"/>
          <w:szCs w:val="28"/>
        </w:rPr>
        <w:t>) размещение объектов недропользования на земельн</w:t>
      </w:r>
      <w:r w:rsidR="00D74DF3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D74DF3">
        <w:rPr>
          <w:sz w:val="28"/>
          <w:szCs w:val="28"/>
        </w:rPr>
        <w:t>е</w:t>
      </w:r>
      <w:r w:rsidR="00775F99">
        <w:rPr>
          <w:sz w:val="28"/>
          <w:szCs w:val="28"/>
        </w:rPr>
        <w:t xml:space="preserve"> </w:t>
      </w:r>
      <w:r w:rsidR="00581E8D">
        <w:rPr>
          <w:sz w:val="28"/>
          <w:szCs w:val="28"/>
        </w:rPr>
        <w:t xml:space="preserve">площадью </w:t>
      </w:r>
      <w:r w:rsidR="00D74DF3">
        <w:rPr>
          <w:sz w:val="28"/>
          <w:szCs w:val="28"/>
        </w:rPr>
        <w:t>1,3504</w:t>
      </w:r>
      <w:r w:rsidR="00775F99">
        <w:rPr>
          <w:sz w:val="28"/>
          <w:szCs w:val="28"/>
        </w:rPr>
        <w:t> </w:t>
      </w:r>
      <w:r>
        <w:rPr>
          <w:sz w:val="28"/>
          <w:szCs w:val="28"/>
        </w:rPr>
        <w:t xml:space="preserve">гектара предусмотрено генеральным планом </w:t>
      </w:r>
      <w:r w:rsidR="00D74DF3">
        <w:rPr>
          <w:sz w:val="28"/>
          <w:szCs w:val="28"/>
        </w:rPr>
        <w:t xml:space="preserve">Среднедевятовского </w:t>
      </w:r>
      <w:r>
        <w:rPr>
          <w:sz w:val="28"/>
          <w:szCs w:val="28"/>
        </w:rPr>
        <w:t xml:space="preserve">сельского поселения </w:t>
      </w:r>
      <w:r w:rsidR="00D74DF3">
        <w:rPr>
          <w:sz w:val="28"/>
          <w:szCs w:val="28"/>
        </w:rPr>
        <w:t>Лаишевского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 w:rsidR="00581E8D">
        <w:rPr>
          <w:sz w:val="28"/>
          <w:szCs w:val="28"/>
        </w:rPr>
        <w:t>, утвержденным решением Совета Лаишевского муниципального района Республики Татарстан от 27.06.2022 № 47-РС и размещение объектов недропользования на земельных участках общей площадью 10 гектаров предусмотрено генеральным планом Егорьевского сельского поселения Лаишевского муниципального района Республики Татарстан</w:t>
      </w:r>
      <w:r>
        <w:rPr>
          <w:sz w:val="28"/>
          <w:szCs w:val="28"/>
        </w:rPr>
        <w:t xml:space="preserve">, утвержденным решением Совета </w:t>
      </w:r>
      <w:r w:rsidR="00D74DF3">
        <w:rPr>
          <w:sz w:val="28"/>
          <w:szCs w:val="28"/>
        </w:rPr>
        <w:t>Лаишевског</w:t>
      </w:r>
      <w:r w:rsidR="00F4276C">
        <w:rPr>
          <w:sz w:val="28"/>
          <w:szCs w:val="28"/>
        </w:rPr>
        <w:t>о</w:t>
      </w:r>
      <w:r>
        <w:rPr>
          <w:sz w:val="28"/>
          <w:szCs w:val="28"/>
        </w:rPr>
        <w:t xml:space="preserve"> муниципального района Республики Татарстан от </w:t>
      </w:r>
      <w:r w:rsidR="00581E8D">
        <w:rPr>
          <w:sz w:val="28"/>
          <w:szCs w:val="28"/>
        </w:rPr>
        <w:t>07.09</w:t>
      </w:r>
      <w:r w:rsidR="00D74DF3">
        <w:rPr>
          <w:sz w:val="28"/>
          <w:szCs w:val="28"/>
        </w:rPr>
        <w:t>.2022</w:t>
      </w:r>
      <w:r>
        <w:rPr>
          <w:sz w:val="28"/>
          <w:szCs w:val="28"/>
        </w:rPr>
        <w:t xml:space="preserve"> № </w:t>
      </w:r>
      <w:r w:rsidR="00581E8D">
        <w:rPr>
          <w:sz w:val="28"/>
          <w:szCs w:val="28"/>
        </w:rPr>
        <w:t>63</w:t>
      </w:r>
      <w:r w:rsidR="00D74DF3">
        <w:rPr>
          <w:sz w:val="28"/>
          <w:szCs w:val="28"/>
        </w:rPr>
        <w:t>-РС</w:t>
      </w:r>
      <w:r w:rsidR="00F4276C">
        <w:rPr>
          <w:sz w:val="28"/>
          <w:szCs w:val="28"/>
        </w:rPr>
        <w:t>.</w:t>
      </w:r>
    </w:p>
    <w:p w:rsidR="007D750F" w:rsidRDefault="00F4276C" w:rsidP="002E7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7D750F">
        <w:rPr>
          <w:sz w:val="28"/>
          <w:szCs w:val="28"/>
        </w:rPr>
        <w:t>ы</w:t>
      </w:r>
      <w:r w:rsidR="006A7E26">
        <w:rPr>
          <w:sz w:val="28"/>
          <w:szCs w:val="28"/>
        </w:rPr>
        <w:t xml:space="preserve"> к</w:t>
      </w:r>
      <w:r w:rsidR="004F6268" w:rsidRPr="00090006">
        <w:rPr>
          <w:sz w:val="28"/>
          <w:szCs w:val="28"/>
        </w:rPr>
        <w:t>опи</w:t>
      </w:r>
      <w:r w:rsidR="007D750F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7D750F">
        <w:rPr>
          <w:sz w:val="28"/>
          <w:szCs w:val="28"/>
        </w:rPr>
        <w:t>й</w:t>
      </w:r>
      <w:r w:rsidR="00346C23">
        <w:rPr>
          <w:sz w:val="28"/>
          <w:szCs w:val="28"/>
        </w:rPr>
        <w:t xml:space="preserve"> на п</w:t>
      </w:r>
      <w:r>
        <w:rPr>
          <w:sz w:val="28"/>
          <w:szCs w:val="28"/>
        </w:rPr>
        <w:t>ользование недрами</w:t>
      </w:r>
      <w:r w:rsidR="007D750F">
        <w:rPr>
          <w:sz w:val="28"/>
          <w:szCs w:val="28"/>
        </w:rPr>
        <w:t>:</w:t>
      </w:r>
    </w:p>
    <w:p w:rsidR="007D750F" w:rsidRDefault="007D750F" w:rsidP="002E7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D74DF3">
        <w:rPr>
          <w:sz w:val="28"/>
          <w:szCs w:val="28"/>
        </w:rPr>
        <w:t>АЗН</w:t>
      </w:r>
      <w:r>
        <w:rPr>
          <w:sz w:val="28"/>
          <w:szCs w:val="28"/>
        </w:rPr>
        <w:t xml:space="preserve"> № </w:t>
      </w:r>
      <w:r w:rsidR="00D74DF3">
        <w:rPr>
          <w:sz w:val="28"/>
          <w:szCs w:val="28"/>
        </w:rPr>
        <w:t>01596</w:t>
      </w:r>
      <w:r>
        <w:rPr>
          <w:sz w:val="28"/>
          <w:szCs w:val="28"/>
        </w:rPr>
        <w:t xml:space="preserve"> ТЭ, выданной ООО «</w:t>
      </w:r>
      <w:r w:rsidR="00D74DF3" w:rsidRPr="00D74DF3">
        <w:rPr>
          <w:sz w:val="28"/>
          <w:szCs w:val="28"/>
        </w:rPr>
        <w:t>Азнакаевская горнодобывающая компания</w:t>
      </w:r>
      <w:r>
        <w:rPr>
          <w:sz w:val="28"/>
          <w:szCs w:val="28"/>
        </w:rPr>
        <w:t xml:space="preserve">» сроком до </w:t>
      </w:r>
      <w:r w:rsidR="00D74DF3">
        <w:rPr>
          <w:sz w:val="28"/>
          <w:szCs w:val="28"/>
        </w:rPr>
        <w:t>31.12.2046</w:t>
      </w:r>
      <w:r>
        <w:rPr>
          <w:sz w:val="28"/>
          <w:szCs w:val="28"/>
        </w:rPr>
        <w:t>;</w:t>
      </w:r>
    </w:p>
    <w:p w:rsidR="00550DB2" w:rsidRDefault="00CD46F2" w:rsidP="002E731B">
      <w:pPr>
        <w:ind w:firstLine="709"/>
        <w:jc w:val="both"/>
        <w:rPr>
          <w:sz w:val="28"/>
          <w:szCs w:val="28"/>
        </w:rPr>
      </w:pPr>
      <w:r w:rsidRPr="002E731B">
        <w:rPr>
          <w:sz w:val="28"/>
          <w:szCs w:val="28"/>
        </w:rPr>
        <w:t xml:space="preserve">ТАТ </w:t>
      </w:r>
      <w:r w:rsidR="00D74DF3">
        <w:rPr>
          <w:sz w:val="28"/>
          <w:szCs w:val="28"/>
        </w:rPr>
        <w:t>ЛАИ</w:t>
      </w:r>
      <w:r w:rsidR="002E731B">
        <w:rPr>
          <w:sz w:val="28"/>
          <w:szCs w:val="28"/>
        </w:rPr>
        <w:t xml:space="preserve"> </w:t>
      </w:r>
      <w:r w:rsidRPr="002E731B">
        <w:rPr>
          <w:sz w:val="28"/>
          <w:szCs w:val="28"/>
        </w:rPr>
        <w:t xml:space="preserve">№ </w:t>
      </w:r>
      <w:r w:rsidR="00F4276C">
        <w:rPr>
          <w:sz w:val="28"/>
          <w:szCs w:val="28"/>
        </w:rPr>
        <w:t>01</w:t>
      </w:r>
      <w:r w:rsidR="00D74DF3">
        <w:rPr>
          <w:sz w:val="28"/>
          <w:szCs w:val="28"/>
        </w:rPr>
        <w:t>996</w:t>
      </w:r>
      <w:r w:rsidRPr="002E731B">
        <w:rPr>
          <w:sz w:val="28"/>
          <w:szCs w:val="28"/>
        </w:rPr>
        <w:t xml:space="preserve"> </w:t>
      </w:r>
      <w:r w:rsidR="002E731B">
        <w:rPr>
          <w:sz w:val="28"/>
          <w:szCs w:val="28"/>
        </w:rPr>
        <w:t>Т</w:t>
      </w:r>
      <w:r w:rsidR="00F4276C">
        <w:rPr>
          <w:sz w:val="28"/>
          <w:szCs w:val="28"/>
        </w:rPr>
        <w:t>Р, выданн</w:t>
      </w:r>
      <w:r w:rsidR="007D750F">
        <w:rPr>
          <w:sz w:val="28"/>
          <w:szCs w:val="28"/>
        </w:rPr>
        <w:t>ой</w:t>
      </w:r>
      <w:r w:rsidR="00F4276C">
        <w:rPr>
          <w:sz w:val="28"/>
          <w:szCs w:val="28"/>
        </w:rPr>
        <w:t xml:space="preserve"> ООО «</w:t>
      </w:r>
      <w:r w:rsidR="00D74DF3">
        <w:rPr>
          <w:sz w:val="28"/>
          <w:szCs w:val="28"/>
        </w:rPr>
        <w:t>Торговый дом «ЖИК</w:t>
      </w:r>
      <w:r w:rsidR="00F4276C">
        <w:rPr>
          <w:sz w:val="28"/>
          <w:szCs w:val="28"/>
        </w:rPr>
        <w:t>»</w:t>
      </w:r>
      <w:r w:rsidRPr="002E731B">
        <w:rPr>
          <w:sz w:val="28"/>
          <w:szCs w:val="28"/>
        </w:rPr>
        <w:t xml:space="preserve"> сроком до</w:t>
      </w:r>
      <w:r w:rsidR="00F4276C">
        <w:rPr>
          <w:sz w:val="28"/>
          <w:szCs w:val="28"/>
        </w:rPr>
        <w:t xml:space="preserve"> 31.10.20</w:t>
      </w:r>
      <w:r w:rsidR="00D74DF3">
        <w:rPr>
          <w:sz w:val="28"/>
          <w:szCs w:val="28"/>
        </w:rPr>
        <w:t>2</w:t>
      </w:r>
      <w:r w:rsidR="00581E8D">
        <w:rPr>
          <w:sz w:val="28"/>
          <w:szCs w:val="28"/>
        </w:rPr>
        <w:t>8;</w:t>
      </w:r>
    </w:p>
    <w:p w:rsidR="00581E8D" w:rsidRDefault="00581E8D" w:rsidP="002E7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ТАТ ЛАИ № 01770 ТЭ, выданной ООО </w:t>
      </w:r>
      <w:r w:rsidR="005C623F">
        <w:rPr>
          <w:sz w:val="28"/>
          <w:szCs w:val="28"/>
        </w:rPr>
        <w:t>«</w:t>
      </w:r>
      <w:r>
        <w:rPr>
          <w:sz w:val="28"/>
          <w:szCs w:val="28"/>
        </w:rPr>
        <w:t>Промнеруд» сроком до 01.07.2038.</w:t>
      </w:r>
    </w:p>
    <w:p w:rsidR="0052437B" w:rsidRPr="00B5338E" w:rsidRDefault="00785422" w:rsidP="009750AE">
      <w:pPr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8CE" w:rsidRDefault="00C328CE" w:rsidP="00341377">
      <w:r>
        <w:separator/>
      </w:r>
    </w:p>
  </w:endnote>
  <w:endnote w:type="continuationSeparator" w:id="0">
    <w:p w:rsidR="00C328CE" w:rsidRDefault="00C328CE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8CE" w:rsidRDefault="00C328CE" w:rsidP="00341377">
      <w:r>
        <w:separator/>
      </w:r>
    </w:p>
  </w:footnote>
  <w:footnote w:type="continuationSeparator" w:id="0">
    <w:p w:rsidR="00C328CE" w:rsidRDefault="00C328CE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2F0"/>
    <w:rsid w:val="0013463A"/>
    <w:rsid w:val="00135069"/>
    <w:rsid w:val="001462F8"/>
    <w:rsid w:val="00147C4E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47CC"/>
    <w:rsid w:val="001A54AF"/>
    <w:rsid w:val="001A55CA"/>
    <w:rsid w:val="001A626E"/>
    <w:rsid w:val="001A78F3"/>
    <w:rsid w:val="001B0ACA"/>
    <w:rsid w:val="001B6FE4"/>
    <w:rsid w:val="001C10FC"/>
    <w:rsid w:val="001C1EC7"/>
    <w:rsid w:val="001C5393"/>
    <w:rsid w:val="001D0288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2444"/>
    <w:rsid w:val="00297074"/>
    <w:rsid w:val="002A3969"/>
    <w:rsid w:val="002A5062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B5946"/>
    <w:rsid w:val="003C1BD5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A4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1E8D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C623F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20BE4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A1CFB"/>
    <w:rsid w:val="007A20E3"/>
    <w:rsid w:val="007A73DE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0310"/>
    <w:rsid w:val="008437EE"/>
    <w:rsid w:val="008464F1"/>
    <w:rsid w:val="00852B76"/>
    <w:rsid w:val="0085490E"/>
    <w:rsid w:val="008611EC"/>
    <w:rsid w:val="0086317E"/>
    <w:rsid w:val="008665A1"/>
    <w:rsid w:val="008673A9"/>
    <w:rsid w:val="0087233D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1467"/>
    <w:rsid w:val="008C1705"/>
    <w:rsid w:val="008D126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0174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750A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0B42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947B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83C1E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3AC6"/>
    <w:rsid w:val="00C07644"/>
    <w:rsid w:val="00C07820"/>
    <w:rsid w:val="00C125A6"/>
    <w:rsid w:val="00C12BF1"/>
    <w:rsid w:val="00C13E42"/>
    <w:rsid w:val="00C17D14"/>
    <w:rsid w:val="00C22449"/>
    <w:rsid w:val="00C23247"/>
    <w:rsid w:val="00C2458E"/>
    <w:rsid w:val="00C328C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3EE7"/>
    <w:rsid w:val="00CA2F50"/>
    <w:rsid w:val="00CA4F2D"/>
    <w:rsid w:val="00CD28BA"/>
    <w:rsid w:val="00CD311E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4DF3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4276C"/>
    <w:rsid w:val="00F45A1B"/>
    <w:rsid w:val="00F54DFB"/>
    <w:rsid w:val="00F5617C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C2C62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6EA2C4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D74DF3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61E35-E6D3-4C8F-94C7-27C7EBB5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18</cp:revision>
  <cp:lastPrinted>2022-11-01T07:21:00Z</cp:lastPrinted>
  <dcterms:created xsi:type="dcterms:W3CDTF">2022-03-04T12:25:00Z</dcterms:created>
  <dcterms:modified xsi:type="dcterms:W3CDTF">2022-11-14T13:13:00Z</dcterms:modified>
</cp:coreProperties>
</file>