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06D8B" w:rsidRPr="00406D8B" w:rsidRDefault="00406D8B" w:rsidP="00406D8B">
      <w:pPr>
        <w:jc w:val="center"/>
        <w:rPr>
          <w:i/>
          <w:color w:val="FF0000"/>
          <w:sz w:val="28"/>
          <w:szCs w:val="28"/>
          <w:u w:val="single"/>
        </w:rPr>
      </w:pPr>
      <w:r w:rsidRPr="00406D8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06D8B" w:rsidRPr="00406D8B" w:rsidRDefault="00406D8B" w:rsidP="00406D8B">
      <w:pPr>
        <w:jc w:val="center"/>
        <w:rPr>
          <w:i/>
          <w:color w:val="FF0000"/>
          <w:sz w:val="28"/>
          <w:szCs w:val="28"/>
          <w:u w:val="single"/>
        </w:rPr>
      </w:pPr>
      <w:r w:rsidRPr="00406D8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06D8B" w:rsidRPr="00406D8B" w:rsidRDefault="00406D8B" w:rsidP="00406D8B">
      <w:pPr>
        <w:jc w:val="center"/>
        <w:rPr>
          <w:i/>
          <w:color w:val="FF0000"/>
          <w:sz w:val="28"/>
          <w:szCs w:val="28"/>
          <w:u w:val="single"/>
        </w:rPr>
      </w:pPr>
      <w:r w:rsidRPr="00406D8B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406D8B" w:rsidRPr="00406D8B" w:rsidRDefault="00406D8B" w:rsidP="00406D8B">
      <w:pPr>
        <w:jc w:val="center"/>
        <w:rPr>
          <w:i/>
          <w:color w:val="FF0000"/>
          <w:sz w:val="28"/>
          <w:szCs w:val="28"/>
          <w:u w:val="single"/>
        </w:rPr>
      </w:pPr>
      <w:r w:rsidRPr="00406D8B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406D8B" w:rsidRPr="00406D8B" w:rsidRDefault="00406D8B" w:rsidP="00406D8B">
      <w:pPr>
        <w:jc w:val="center"/>
        <w:rPr>
          <w:i/>
          <w:color w:val="FF0000"/>
          <w:sz w:val="28"/>
          <w:szCs w:val="28"/>
          <w:u w:val="single"/>
        </w:rPr>
      </w:pPr>
      <w:r w:rsidRPr="00406D8B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13CC1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13CC1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13CC1">
        <w:rPr>
          <w:sz w:val="28"/>
          <w:szCs w:val="20"/>
        </w:rPr>
        <w:t>Лаишевском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313CC1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313CC1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313CC1">
        <w:rPr>
          <w:sz w:val="28"/>
          <w:szCs w:val="28"/>
        </w:rPr>
        <w:t>с кадастровым номером 16:24:150301:1849</w:t>
      </w:r>
      <w:r w:rsidR="005A0EA4">
        <w:rPr>
          <w:sz w:val="28"/>
          <w:szCs w:val="28"/>
        </w:rPr>
        <w:t xml:space="preserve"> площадью</w:t>
      </w:r>
      <w:r w:rsidR="00B94212">
        <w:rPr>
          <w:sz w:val="28"/>
          <w:szCs w:val="28"/>
        </w:rPr>
        <w:t xml:space="preserve"> </w:t>
      </w:r>
      <w:r w:rsidR="00313CC1">
        <w:rPr>
          <w:sz w:val="28"/>
          <w:szCs w:val="28"/>
        </w:rPr>
        <w:t>2,8359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13CC1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313CC1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8A619E">
        <w:rPr>
          <w:sz w:val="28"/>
          <w:szCs w:val="28"/>
        </w:rPr>
        <w:t xml:space="preserve">             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313CC1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313CC1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313CC1">
        <w:rPr>
          <w:color w:val="0D0D0D"/>
          <w:sz w:val="28"/>
          <w:szCs w:val="28"/>
        </w:rPr>
        <w:t>Лаишевском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313CC1">
        <w:rPr>
          <w:sz w:val="28"/>
          <w:szCs w:val="28"/>
        </w:rPr>
        <w:t xml:space="preserve">й </w:t>
      </w:r>
      <w:r w:rsidRPr="009E3936">
        <w:rPr>
          <w:sz w:val="28"/>
          <w:szCs w:val="28"/>
        </w:rPr>
        <w:t>участ</w:t>
      </w:r>
      <w:r w:rsidR="00313CC1"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площадью </w:t>
      </w:r>
      <w:r w:rsidR="000A7BF3">
        <w:rPr>
          <w:sz w:val="28"/>
          <w:szCs w:val="28"/>
        </w:rPr>
        <w:t>2,8359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13CC1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>
        <w:rPr>
          <w:sz w:val="28"/>
          <w:szCs w:val="20"/>
        </w:rPr>
        <w:t>склад</w:t>
      </w:r>
      <w:r w:rsidR="00FC4D3A">
        <w:rPr>
          <w:sz w:val="28"/>
          <w:szCs w:val="20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0A7BF3">
        <w:rPr>
          <w:sz w:val="28"/>
          <w:szCs w:val="28"/>
        </w:rPr>
        <w:t>Столбищенского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0A7BF3">
        <w:rPr>
          <w:color w:val="0D0D0D"/>
          <w:sz w:val="28"/>
          <w:szCs w:val="28"/>
        </w:rPr>
        <w:t>Лаишевско</w:t>
      </w:r>
      <w:r w:rsidR="00FC4D3A">
        <w:rPr>
          <w:sz w:val="28"/>
          <w:szCs w:val="28"/>
        </w:rPr>
        <w:t>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986E0F" w:rsidRPr="009E3936" w:rsidRDefault="002A668F" w:rsidP="00155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меется </w:t>
      </w:r>
      <w:r>
        <w:rPr>
          <w:sz w:val="28"/>
          <w:szCs w:val="28"/>
        </w:rPr>
        <w:t>согласование</w:t>
      </w:r>
      <w:r w:rsidRPr="000C2338">
        <w:rPr>
          <w:sz w:val="28"/>
          <w:szCs w:val="28"/>
        </w:rPr>
        <w:t xml:space="preserve"> Президента Республики Татарстан </w:t>
      </w:r>
      <w:r>
        <w:rPr>
          <w:sz w:val="28"/>
          <w:szCs w:val="28"/>
        </w:rPr>
        <w:t xml:space="preserve">                                        Р.Н.</w:t>
      </w:r>
      <w:r w:rsidRPr="000C2338">
        <w:rPr>
          <w:sz w:val="28"/>
          <w:szCs w:val="28"/>
        </w:rPr>
        <w:t>Минниханова</w:t>
      </w:r>
      <w:r>
        <w:rPr>
          <w:sz w:val="28"/>
          <w:szCs w:val="28"/>
        </w:rPr>
        <w:t xml:space="preserve"> от</w:t>
      </w:r>
      <w:r w:rsidRPr="009E3936">
        <w:rPr>
          <w:sz w:val="28"/>
          <w:szCs w:val="28"/>
        </w:rPr>
        <w:t xml:space="preserve"> </w:t>
      </w:r>
      <w:r>
        <w:rPr>
          <w:sz w:val="28"/>
          <w:szCs w:val="28"/>
        </w:rPr>
        <w:t>23.04.2022 № Вх/13528 п</w:t>
      </w:r>
      <w:r w:rsidR="00986E0F" w:rsidRPr="009E3936">
        <w:rPr>
          <w:sz w:val="28"/>
          <w:szCs w:val="28"/>
        </w:rPr>
        <w:t>о вопросу перевода земельн</w:t>
      </w:r>
      <w:r>
        <w:rPr>
          <w:sz w:val="28"/>
          <w:szCs w:val="28"/>
        </w:rPr>
        <w:t>ого</w:t>
      </w:r>
      <w:r w:rsidR="00986E0F" w:rsidRPr="009E393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с кадастровым номером 16:24:150301:1127, из которого образован переводимый земельный участок с кадастровым номером 16:24:150301:1849</w:t>
      </w:r>
      <w:r w:rsidR="00986E0F" w:rsidRPr="009E3936">
        <w:rPr>
          <w:sz w:val="28"/>
          <w:szCs w:val="28"/>
        </w:rPr>
        <w:t>.</w:t>
      </w:r>
    </w:p>
    <w:p w:rsidR="000049B4" w:rsidRPr="009E3936" w:rsidRDefault="000049B4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2A668F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2A668F">
        <w:rPr>
          <w:sz w:val="28"/>
          <w:szCs w:val="28"/>
        </w:rPr>
        <w:t>ок</w:t>
      </w:r>
      <w:r w:rsidR="00FC4D3A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2A668F">
        <w:rPr>
          <w:sz w:val="28"/>
          <w:szCs w:val="28"/>
        </w:rPr>
        <w:t>2,8359</w:t>
      </w:r>
      <w:r w:rsidR="00155161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4D2221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собственности </w:t>
      </w:r>
      <w:r w:rsidR="002A668F">
        <w:rPr>
          <w:sz w:val="28"/>
          <w:szCs w:val="28"/>
        </w:rPr>
        <w:t xml:space="preserve">Мостякова </w:t>
      </w:r>
      <w:r w:rsidR="006A5AD0">
        <w:rPr>
          <w:sz w:val="28"/>
          <w:szCs w:val="28"/>
        </w:rPr>
        <w:t>Андрея Сергеевича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6A5AD0">
        <w:rPr>
          <w:sz w:val="28"/>
          <w:szCs w:val="28"/>
        </w:rPr>
        <w:t>Столбищенского</w:t>
      </w:r>
      <w:r w:rsidRPr="009E3936">
        <w:rPr>
          <w:sz w:val="28"/>
          <w:szCs w:val="28"/>
        </w:rPr>
        <w:t xml:space="preserve"> сельского поселения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6A5AD0">
        <w:rPr>
          <w:sz w:val="28"/>
          <w:szCs w:val="28"/>
        </w:rPr>
        <w:t>Столбищенского</w:t>
      </w:r>
      <w:r w:rsidR="006A5AD0" w:rsidRPr="009E3936">
        <w:rPr>
          <w:sz w:val="28"/>
          <w:szCs w:val="28"/>
        </w:rPr>
        <w:t xml:space="preserve"> сельского поселения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6A5AD0">
        <w:rPr>
          <w:sz w:val="28"/>
          <w:szCs w:val="28"/>
        </w:rPr>
        <w:t>16/1</w:t>
      </w:r>
      <w:r w:rsidRPr="009E3936">
        <w:rPr>
          <w:sz w:val="28"/>
          <w:szCs w:val="28"/>
        </w:rPr>
        <w:t xml:space="preserve"> от </w:t>
      </w:r>
      <w:r w:rsidR="006A5AD0">
        <w:rPr>
          <w:sz w:val="28"/>
          <w:szCs w:val="28"/>
        </w:rPr>
        <w:t>25.08.2022</w:t>
      </w:r>
      <w:r w:rsidRPr="009E3936">
        <w:rPr>
          <w:sz w:val="28"/>
          <w:szCs w:val="28"/>
        </w:rPr>
        <w:t>.</w:t>
      </w:r>
    </w:p>
    <w:p w:rsidR="006A5AD0" w:rsidRPr="006A5AD0" w:rsidRDefault="006A5AD0" w:rsidP="00155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Лаишевского муниципального района Республики Татарстан от 29.11.2021 № 101-РС </w:t>
      </w:r>
      <w:r w:rsidR="008A619E">
        <w:rPr>
          <w:sz w:val="28"/>
          <w:szCs w:val="28"/>
        </w:rPr>
        <w:t>«О</w:t>
      </w:r>
      <w:r w:rsidRPr="006A5AD0">
        <w:rPr>
          <w:sz w:val="28"/>
          <w:szCs w:val="28"/>
        </w:rPr>
        <w:t xml:space="preserve"> передаче осуществления части полномочий по решению вопросов местного значения Лаишевского муниципального района Республики Татарстан Муниципальному образованию «Столбищенское сельское поселение Лаишевского муниципального района Республики Татарстан» (органам местного самоуправления)</w:t>
      </w:r>
      <w:r w:rsidR="008A619E">
        <w:rPr>
          <w:sz w:val="28"/>
          <w:szCs w:val="28"/>
        </w:rPr>
        <w:t>» сельскому поселению переданы полномочия по утверждению генерального плана поселения, правил землепользования и застройки.</w:t>
      </w:r>
    </w:p>
    <w:p w:rsidR="00EB0487" w:rsidRDefault="0059009B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6A5AD0">
        <w:rPr>
          <w:sz w:val="28"/>
          <w:szCs w:val="28"/>
        </w:rPr>
        <w:t>А.А.Новикова</w:t>
      </w:r>
      <w:r w:rsidR="00155161">
        <w:rPr>
          <w:sz w:val="28"/>
          <w:szCs w:val="28"/>
        </w:rPr>
        <w:t xml:space="preserve"> </w:t>
      </w:r>
      <w:r w:rsidR="006A5AD0">
        <w:rPr>
          <w:sz w:val="28"/>
          <w:szCs w:val="28"/>
        </w:rPr>
        <w:t xml:space="preserve">                  </w:t>
      </w:r>
      <w:r w:rsidR="00155161">
        <w:rPr>
          <w:sz w:val="28"/>
          <w:szCs w:val="28"/>
        </w:rPr>
        <w:t xml:space="preserve">от </w:t>
      </w:r>
      <w:r w:rsidR="006A5AD0">
        <w:rPr>
          <w:sz w:val="28"/>
          <w:szCs w:val="28"/>
        </w:rPr>
        <w:t>05.10</w:t>
      </w:r>
      <w:r w:rsidR="00FC4D3A">
        <w:rPr>
          <w:sz w:val="28"/>
          <w:szCs w:val="28"/>
        </w:rPr>
        <w:t>.2022</w:t>
      </w:r>
      <w:r w:rsidR="00155161">
        <w:rPr>
          <w:sz w:val="28"/>
          <w:szCs w:val="28"/>
        </w:rPr>
        <w:t xml:space="preserve"> № </w:t>
      </w:r>
      <w:r w:rsidR="006A5AD0">
        <w:rPr>
          <w:sz w:val="28"/>
          <w:szCs w:val="28"/>
        </w:rPr>
        <w:t>6899/исх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FC4D3A">
        <w:rPr>
          <w:sz w:val="28"/>
          <w:szCs w:val="28"/>
        </w:rPr>
        <w:t>складов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6A5AD0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6A5AD0">
        <w:rPr>
          <w:sz w:val="28"/>
          <w:szCs w:val="28"/>
        </w:rPr>
        <w:t>ке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6A5AD0">
        <w:rPr>
          <w:sz w:val="28"/>
          <w:szCs w:val="28"/>
        </w:rPr>
        <w:t>2,8359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6A5AD0">
        <w:rPr>
          <w:sz w:val="28"/>
          <w:szCs w:val="28"/>
        </w:rPr>
        <w:t>Столбищенского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8A619E" w:rsidRPr="009E3936" w:rsidRDefault="008A619E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В соответствии с письмом ГБУ «Центр госу</w:t>
      </w:r>
      <w:r>
        <w:rPr>
          <w:sz w:val="28"/>
          <w:szCs w:val="28"/>
        </w:rPr>
        <w:t xml:space="preserve">дарственной кадастровой оценки» </w:t>
      </w:r>
      <w:r w:rsidRPr="009E3936">
        <w:rPr>
          <w:sz w:val="28"/>
          <w:szCs w:val="28"/>
        </w:rPr>
        <w:t xml:space="preserve">средний удельный показатель кадастровой стоимости сельскохозяйственных угодий по </w:t>
      </w:r>
      <w:r>
        <w:rPr>
          <w:sz w:val="28"/>
          <w:szCs w:val="28"/>
        </w:rPr>
        <w:t>Лаишевскому</w:t>
      </w:r>
      <w:r w:rsidRPr="009E3936">
        <w:rPr>
          <w:sz w:val="28"/>
          <w:szCs w:val="28"/>
        </w:rPr>
        <w:t xml:space="preserve"> муниципальному району Республики Татарстан составляет </w:t>
      </w:r>
      <w:r>
        <w:rPr>
          <w:sz w:val="28"/>
          <w:szCs w:val="28"/>
        </w:rPr>
        <w:t>2,91</w:t>
      </w:r>
      <w:r w:rsidRPr="009E3936">
        <w:rPr>
          <w:sz w:val="28"/>
          <w:szCs w:val="28"/>
        </w:rPr>
        <w:t xml:space="preserve"> руб./кв.м, </w:t>
      </w:r>
      <w:r>
        <w:rPr>
          <w:sz w:val="28"/>
          <w:szCs w:val="28"/>
        </w:rPr>
        <w:t>при этом</w:t>
      </w:r>
      <w:r w:rsidRPr="009E3936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 xml:space="preserve">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16:24:150301:1849 </w:t>
      </w:r>
      <w:r w:rsidRPr="009E3936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3,64 руб./кв.м. При этом</w:t>
      </w:r>
      <w:r w:rsidRPr="00F97344">
        <w:rPr>
          <w:sz w:val="28"/>
          <w:szCs w:val="28"/>
        </w:rPr>
        <w:t xml:space="preserve"> органами местного самоуправления </w:t>
      </w:r>
      <w:r>
        <w:rPr>
          <w:sz w:val="28"/>
          <w:szCs w:val="28"/>
        </w:rPr>
        <w:t xml:space="preserve">при разработке генерального плана Столбищенского сельского поселения Лаишевского муниципального района </w:t>
      </w:r>
      <w:r w:rsidRPr="00F97344">
        <w:rPr>
          <w:sz w:val="28"/>
          <w:szCs w:val="28"/>
        </w:rPr>
        <w:t xml:space="preserve">были рассмотрены варианты размещения </w:t>
      </w:r>
      <w:r w:rsidR="004D2221">
        <w:rPr>
          <w:sz w:val="28"/>
          <w:szCs w:val="28"/>
        </w:rPr>
        <w:t>складов</w:t>
      </w:r>
      <w:r w:rsidRPr="00F97344">
        <w:rPr>
          <w:sz w:val="28"/>
          <w:szCs w:val="28"/>
        </w:rPr>
        <w:t xml:space="preserve"> и выбран</w:t>
      </w:r>
      <w:r>
        <w:rPr>
          <w:sz w:val="28"/>
          <w:szCs w:val="28"/>
        </w:rPr>
        <w:t xml:space="preserve"> указанный</w:t>
      </w:r>
      <w:r w:rsidRPr="00F97344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97344">
        <w:rPr>
          <w:sz w:val="28"/>
          <w:szCs w:val="28"/>
        </w:rPr>
        <w:t xml:space="preserve"> как </w:t>
      </w:r>
      <w:r>
        <w:rPr>
          <w:sz w:val="28"/>
          <w:szCs w:val="28"/>
        </w:rPr>
        <w:t>единственный</w:t>
      </w:r>
      <w:r w:rsidRPr="00F97344">
        <w:rPr>
          <w:sz w:val="28"/>
          <w:szCs w:val="28"/>
        </w:rPr>
        <w:t xml:space="preserve"> вариант в связи с отсутствием иных вариантов размещения объект</w:t>
      </w:r>
      <w:r w:rsidR="004D2221">
        <w:rPr>
          <w:sz w:val="28"/>
          <w:szCs w:val="28"/>
        </w:rPr>
        <w:t>ов</w:t>
      </w:r>
      <w:r w:rsidRPr="00F97344">
        <w:rPr>
          <w:sz w:val="28"/>
          <w:szCs w:val="28"/>
        </w:rPr>
        <w:t>, что подтверждается письм</w:t>
      </w:r>
      <w:r>
        <w:rPr>
          <w:sz w:val="28"/>
          <w:szCs w:val="28"/>
        </w:rPr>
        <w:t>ами Исполнительного комитета Лаишевского муниципального района Республики Татарстан.</w:t>
      </w:r>
    </w:p>
    <w:p w:rsidR="0052437B" w:rsidRPr="00FA344B" w:rsidRDefault="00785422" w:rsidP="00234698">
      <w:pPr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lastRenderedPageBreak/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97" w:rsidRDefault="00B64A97" w:rsidP="00341377">
      <w:r>
        <w:separator/>
      </w:r>
    </w:p>
  </w:endnote>
  <w:endnote w:type="continuationSeparator" w:id="0">
    <w:p w:rsidR="00B64A97" w:rsidRDefault="00B64A9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97" w:rsidRDefault="00B64A97" w:rsidP="00341377">
      <w:r>
        <w:separator/>
      </w:r>
    </w:p>
  </w:footnote>
  <w:footnote w:type="continuationSeparator" w:id="0">
    <w:p w:rsidR="00B64A97" w:rsidRDefault="00B64A9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698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06D8B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64A97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270F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BF95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C483-50BA-4662-A52F-6BCF8956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14</cp:revision>
  <cp:lastPrinted>2022-11-15T13:34:00Z</cp:lastPrinted>
  <dcterms:created xsi:type="dcterms:W3CDTF">2021-07-13T06:31:00Z</dcterms:created>
  <dcterms:modified xsi:type="dcterms:W3CDTF">2022-12-22T07:56:00Z</dcterms:modified>
</cp:coreProperties>
</file>