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35D" w:rsidRPr="006029C6" w:rsidRDefault="00EB235D" w:rsidP="008C392B">
      <w:pPr>
        <w:jc w:val="center"/>
        <w:rPr>
          <w:rFonts w:eastAsia="Calibri"/>
          <w:i/>
          <w:color w:val="FF0000"/>
          <w:sz w:val="32"/>
          <w:szCs w:val="32"/>
          <w:u w:val="single"/>
        </w:rPr>
      </w:pPr>
      <w:r w:rsidRPr="006029C6">
        <w:rPr>
          <w:rFonts w:eastAsia="Calibri"/>
          <w:i/>
          <w:color w:val="FF0000"/>
          <w:sz w:val="32"/>
          <w:szCs w:val="32"/>
          <w:u w:val="single"/>
        </w:rPr>
        <w:t xml:space="preserve">Срок проведения </w:t>
      </w:r>
      <w:proofErr w:type="gramStart"/>
      <w:r w:rsidRPr="006029C6">
        <w:rPr>
          <w:rFonts w:eastAsia="Calibri"/>
          <w:i/>
          <w:color w:val="FF0000"/>
          <w:sz w:val="32"/>
          <w:szCs w:val="32"/>
          <w:u w:val="single"/>
        </w:rPr>
        <w:t>независимой</w:t>
      </w:r>
      <w:proofErr w:type="gramEnd"/>
    </w:p>
    <w:p w:rsidR="00EB235D" w:rsidRPr="006029C6" w:rsidRDefault="00EB235D" w:rsidP="00EB235D">
      <w:pPr>
        <w:jc w:val="center"/>
        <w:rPr>
          <w:rFonts w:eastAsia="Calibri"/>
          <w:i/>
          <w:color w:val="FF0000"/>
          <w:sz w:val="32"/>
          <w:szCs w:val="32"/>
          <w:u w:val="single"/>
        </w:rPr>
      </w:pPr>
      <w:r w:rsidRPr="006029C6">
        <w:rPr>
          <w:rFonts w:eastAsia="Calibri"/>
          <w:i/>
          <w:color w:val="FF0000"/>
          <w:sz w:val="32"/>
          <w:szCs w:val="32"/>
          <w:u w:val="single"/>
        </w:rPr>
        <w:t>антикоррупционной экспертизы проекта –</w:t>
      </w:r>
    </w:p>
    <w:p w:rsidR="00EB235D" w:rsidRPr="006029C6" w:rsidRDefault="00EB235D" w:rsidP="00EB235D">
      <w:pPr>
        <w:jc w:val="center"/>
        <w:rPr>
          <w:rFonts w:eastAsia="Calibri"/>
          <w:i/>
          <w:color w:val="FF0000"/>
          <w:sz w:val="32"/>
          <w:szCs w:val="32"/>
          <w:u w:val="single"/>
        </w:rPr>
      </w:pPr>
      <w:r w:rsidRPr="006029C6">
        <w:rPr>
          <w:rFonts w:eastAsia="Calibri"/>
          <w:i/>
          <w:color w:val="FF0000"/>
          <w:sz w:val="32"/>
          <w:szCs w:val="32"/>
          <w:u w:val="single"/>
        </w:rPr>
        <w:t xml:space="preserve"> с </w:t>
      </w:r>
      <w:r>
        <w:rPr>
          <w:i/>
          <w:color w:val="FF0000"/>
          <w:sz w:val="32"/>
          <w:szCs w:val="32"/>
          <w:u w:val="single"/>
        </w:rPr>
        <w:t>28</w:t>
      </w:r>
      <w:r w:rsidRPr="006029C6">
        <w:rPr>
          <w:rFonts w:eastAsia="Calibri"/>
          <w:i/>
          <w:color w:val="FF0000"/>
          <w:sz w:val="32"/>
          <w:szCs w:val="32"/>
          <w:u w:val="single"/>
        </w:rPr>
        <w:t xml:space="preserve"> </w:t>
      </w:r>
      <w:r>
        <w:rPr>
          <w:i/>
          <w:color w:val="FF0000"/>
          <w:sz w:val="32"/>
          <w:szCs w:val="32"/>
          <w:u w:val="single"/>
        </w:rPr>
        <w:t>сентября по 3 октября</w:t>
      </w:r>
      <w:r w:rsidRPr="006029C6">
        <w:rPr>
          <w:rFonts w:eastAsia="Calibri"/>
          <w:i/>
          <w:color w:val="FF0000"/>
          <w:sz w:val="32"/>
          <w:szCs w:val="32"/>
          <w:u w:val="single"/>
        </w:rPr>
        <w:t xml:space="preserve"> 2016 года включительно.</w:t>
      </w:r>
    </w:p>
    <w:p w:rsidR="00EB235D" w:rsidRPr="006029C6" w:rsidRDefault="00EB235D" w:rsidP="00EB235D">
      <w:pPr>
        <w:jc w:val="center"/>
        <w:rPr>
          <w:rFonts w:eastAsia="Calibri"/>
          <w:i/>
          <w:color w:val="FF0000"/>
          <w:sz w:val="32"/>
          <w:szCs w:val="32"/>
          <w:u w:val="single"/>
        </w:rPr>
      </w:pPr>
      <w:r w:rsidRPr="006029C6">
        <w:rPr>
          <w:rFonts w:eastAsia="Calibri"/>
          <w:i/>
          <w:color w:val="FF0000"/>
          <w:sz w:val="32"/>
          <w:szCs w:val="32"/>
          <w:u w:val="single"/>
        </w:rPr>
        <w:t xml:space="preserve">О внесении предложений в проект обращаться к начальнику </w:t>
      </w:r>
      <w:proofErr w:type="gramStart"/>
      <w:r w:rsidRPr="006029C6">
        <w:rPr>
          <w:rFonts w:eastAsia="Calibri"/>
          <w:i/>
          <w:color w:val="FF0000"/>
          <w:sz w:val="32"/>
          <w:szCs w:val="32"/>
          <w:u w:val="single"/>
        </w:rPr>
        <w:t xml:space="preserve">отдела </w:t>
      </w:r>
      <w:r>
        <w:rPr>
          <w:i/>
          <w:color w:val="FF0000"/>
          <w:sz w:val="32"/>
          <w:szCs w:val="32"/>
          <w:u w:val="single"/>
        </w:rPr>
        <w:t xml:space="preserve">защиты имущественных интересов государства </w:t>
      </w:r>
      <w:r w:rsidRPr="006029C6">
        <w:rPr>
          <w:rFonts w:eastAsia="Calibri"/>
          <w:i/>
          <w:color w:val="FF0000"/>
          <w:sz w:val="32"/>
          <w:szCs w:val="32"/>
          <w:u w:val="single"/>
        </w:rPr>
        <w:t>правового управления</w:t>
      </w:r>
      <w:proofErr w:type="gramEnd"/>
      <w:r w:rsidRPr="006029C6">
        <w:rPr>
          <w:rFonts w:eastAsia="Calibri"/>
          <w:i/>
          <w:color w:val="FF0000"/>
          <w:sz w:val="32"/>
          <w:szCs w:val="32"/>
          <w:u w:val="single"/>
        </w:rPr>
        <w:t xml:space="preserve"> </w:t>
      </w:r>
      <w:proofErr w:type="spellStart"/>
      <w:r>
        <w:rPr>
          <w:i/>
          <w:color w:val="FF0000"/>
          <w:sz w:val="32"/>
          <w:szCs w:val="32"/>
          <w:u w:val="single"/>
        </w:rPr>
        <w:t>И.Г.Евченко</w:t>
      </w:r>
      <w:proofErr w:type="spellEnd"/>
      <w:r>
        <w:rPr>
          <w:i/>
          <w:color w:val="FF0000"/>
          <w:sz w:val="32"/>
          <w:szCs w:val="32"/>
          <w:u w:val="single"/>
        </w:rPr>
        <w:t xml:space="preserve"> по тел.221-40-16</w:t>
      </w:r>
      <w:r w:rsidRPr="006029C6">
        <w:rPr>
          <w:rFonts w:eastAsia="Calibri"/>
          <w:i/>
          <w:color w:val="FF0000"/>
          <w:sz w:val="32"/>
          <w:szCs w:val="32"/>
          <w:u w:val="single"/>
        </w:rPr>
        <w:t xml:space="preserve"> </w:t>
      </w:r>
      <w:r w:rsidRPr="006029C6">
        <w:rPr>
          <w:rFonts w:eastAsia="Calibri"/>
          <w:i/>
          <w:color w:val="FF0000"/>
          <w:sz w:val="28"/>
          <w:szCs w:val="28"/>
          <w:u w:val="single"/>
        </w:rPr>
        <w:t>(</w:t>
      </w:r>
      <w:hyperlink r:id="rId5" w:history="1">
        <w:r w:rsidRPr="006029C6">
          <w:rPr>
            <w:rStyle w:val="a6"/>
            <w:i/>
            <w:color w:val="FF0000"/>
            <w:sz w:val="28"/>
            <w:szCs w:val="28"/>
            <w:shd w:val="clear" w:color="auto" w:fill="FFFFFF"/>
          </w:rPr>
          <w:t>Inna.Evchenko@tatar.ru</w:t>
        </w:r>
      </w:hyperlink>
      <w:r w:rsidRPr="006029C6">
        <w:rPr>
          <w:rFonts w:eastAsia="Calibri"/>
          <w:i/>
          <w:color w:val="FF0000"/>
          <w:sz w:val="28"/>
          <w:szCs w:val="28"/>
          <w:u w:val="single"/>
        </w:rPr>
        <w:t>)</w:t>
      </w:r>
    </w:p>
    <w:p w:rsidR="00EB235D" w:rsidRDefault="00EB235D" w:rsidP="009A50D1">
      <w:pPr>
        <w:jc w:val="right"/>
        <w:rPr>
          <w:sz w:val="28"/>
          <w:szCs w:val="28"/>
        </w:rPr>
      </w:pPr>
    </w:p>
    <w:p w:rsidR="00EB235D" w:rsidRDefault="00EB235D" w:rsidP="008C392B">
      <w:pPr>
        <w:jc w:val="center"/>
        <w:rPr>
          <w:sz w:val="28"/>
          <w:szCs w:val="28"/>
        </w:rPr>
      </w:pPr>
      <w:bookmarkStart w:id="0" w:name="_GoBack"/>
      <w:bookmarkEnd w:id="0"/>
    </w:p>
    <w:p w:rsidR="009A50D1" w:rsidRDefault="009A50D1" w:rsidP="009A50D1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9A50D1" w:rsidRDefault="009A50D1" w:rsidP="009A50D1">
      <w:pPr>
        <w:jc w:val="center"/>
        <w:rPr>
          <w:sz w:val="28"/>
          <w:szCs w:val="28"/>
        </w:rPr>
      </w:pPr>
      <w:r>
        <w:rPr>
          <w:sz w:val="28"/>
          <w:szCs w:val="28"/>
        </w:rPr>
        <w:t>Указ</w:t>
      </w:r>
    </w:p>
    <w:p w:rsidR="009A50D1" w:rsidRDefault="009A50D1" w:rsidP="009A50D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Президента Республики Татарстан</w:t>
      </w:r>
    </w:p>
    <w:p w:rsidR="009A50D1" w:rsidRDefault="009A50D1" w:rsidP="009A50D1">
      <w:pPr>
        <w:jc w:val="right"/>
        <w:rPr>
          <w:sz w:val="28"/>
          <w:szCs w:val="28"/>
        </w:rPr>
      </w:pPr>
    </w:p>
    <w:p w:rsidR="009A50D1" w:rsidRDefault="009A50D1" w:rsidP="009A50D1">
      <w:pPr>
        <w:jc w:val="right"/>
        <w:rPr>
          <w:sz w:val="28"/>
          <w:szCs w:val="28"/>
        </w:rPr>
      </w:pPr>
    </w:p>
    <w:p w:rsidR="009A50D1" w:rsidRDefault="009A50D1" w:rsidP="009A50D1">
      <w:pPr>
        <w:jc w:val="center"/>
        <w:rPr>
          <w:sz w:val="28"/>
          <w:szCs w:val="28"/>
        </w:rPr>
      </w:pPr>
    </w:p>
    <w:p w:rsidR="009A50D1" w:rsidRDefault="009A50D1" w:rsidP="009A50D1">
      <w:pPr>
        <w:tabs>
          <w:tab w:val="left" w:pos="680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качественные и количественные показатели критериев, которым должны соответствовать масштабные инвестиционные проекты, для реализации которых допускается предоставление земельных участков в аренду без проведения торгов</w:t>
      </w:r>
    </w:p>
    <w:p w:rsidR="009A50D1" w:rsidRDefault="009A50D1" w:rsidP="009A50D1">
      <w:pPr>
        <w:tabs>
          <w:tab w:val="left" w:pos="6804"/>
        </w:tabs>
        <w:jc w:val="center"/>
        <w:rPr>
          <w:b/>
          <w:sz w:val="28"/>
          <w:szCs w:val="28"/>
        </w:rPr>
      </w:pPr>
    </w:p>
    <w:p w:rsidR="009A50D1" w:rsidRDefault="009A50D1" w:rsidP="009A50D1">
      <w:pPr>
        <w:jc w:val="center"/>
        <w:rPr>
          <w:sz w:val="28"/>
          <w:szCs w:val="28"/>
        </w:rPr>
      </w:pPr>
    </w:p>
    <w:p w:rsidR="009A50D1" w:rsidRDefault="009A50D1" w:rsidP="009A50D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совершенствования способов защиты прав граждан – участников долевого строительства многоквартирных домов, пострадавших от действий (бездействия) недобросовестных застройщиков, в соответствии со статьей 33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 Земельного кодекса Республики Татарстан </w:t>
      </w:r>
      <w:r>
        <w:rPr>
          <w:rFonts w:ascii="Times New Roman" w:hAnsi="Times New Roman"/>
          <w:b/>
          <w:sz w:val="28"/>
          <w:szCs w:val="28"/>
        </w:rPr>
        <w:t>постановляю</w:t>
      </w:r>
      <w:r>
        <w:rPr>
          <w:rFonts w:ascii="Times New Roman" w:hAnsi="Times New Roman"/>
          <w:sz w:val="28"/>
          <w:szCs w:val="28"/>
        </w:rPr>
        <w:t>:</w:t>
      </w:r>
    </w:p>
    <w:p w:rsidR="009A50D1" w:rsidRDefault="009A50D1" w:rsidP="009A50D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50D1" w:rsidRDefault="009A50D1" w:rsidP="009A50D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proofErr w:type="gramStart"/>
      <w:r>
        <w:rPr>
          <w:rFonts w:ascii="Times New Roman" w:hAnsi="Times New Roman"/>
          <w:sz w:val="28"/>
          <w:szCs w:val="28"/>
        </w:rPr>
        <w:t>Внести изменение в качественные и количественные показатели критериев, которым должны соответствовать масштабные инвестиционные проекты, для реализации которых допускается предоставление земельных участков в аренду без проведения торгов, установленные Указом Президента Республики Татарстан от 7 декабря 2015 года № УП-1170 «Об установлении качественных и количественных показателей критериев, которым должны соответствовать масштабные инвестиционные проекты, для реализации которых допускается предоставление земельных участков в аренду без</w:t>
      </w:r>
      <w:proofErr w:type="gramEnd"/>
      <w:r>
        <w:rPr>
          <w:rFonts w:ascii="Times New Roman" w:hAnsi="Times New Roman"/>
          <w:sz w:val="28"/>
          <w:szCs w:val="28"/>
        </w:rPr>
        <w:t xml:space="preserve"> проведения торгов», изложив позицию «Строительство индивидуальных жилых домов и (или) многоквартирных домов для предоставления мер по защите прав граждан  –  участников долевого строительства многоквартирных домов, пострадавших от действий (бездействия) недобросовестных застройщиков» в следующей редакции:</w:t>
      </w:r>
    </w:p>
    <w:tbl>
      <w:tblPr>
        <w:tblW w:w="103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77"/>
        <w:gridCol w:w="6380"/>
        <w:gridCol w:w="567"/>
      </w:tblGrid>
      <w:tr w:rsidR="009A50D1" w:rsidTr="009A50D1">
        <w:trPr>
          <w:trHeight w:val="239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A50D1" w:rsidRDefault="009A50D1">
            <w:pPr>
              <w:pStyle w:val="a3"/>
              <w:ind w:right="-25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50D1" w:rsidRDefault="009A50D1">
            <w:pPr>
              <w:spacing w:line="244" w:lineRule="auto"/>
              <w:ind w:left="-40" w:right="-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Строительство индивидуальных жилых домов и (или) многоквартирных домов для предоставления мер по защите прав граждан – участников долевого строительства многоквартирных домов, пострадавших от действий (бездействия) недобросовестных застройщиков (далее  – пострадавшие граждане)</w:t>
            </w:r>
          </w:p>
          <w:p w:rsidR="009A50D1" w:rsidRDefault="009A50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50D1" w:rsidRPr="00237DC6" w:rsidRDefault="009A50D1" w:rsidP="009A50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7DC6">
              <w:rPr>
                <w:rFonts w:ascii="Times New Roman" w:hAnsi="Times New Roman"/>
                <w:sz w:val="28"/>
                <w:szCs w:val="28"/>
              </w:rPr>
              <w:t xml:space="preserve">Инвестиционный проект предполагает строительство многоквартирного дома (многоквартирных домов) общей площадью жилых помещений не менее 10 тысяч квадратных метров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или малоэтажных жилых домов </w:t>
            </w:r>
            <w:r w:rsidRPr="00237DC6">
              <w:rPr>
                <w:rFonts w:ascii="Times New Roman" w:hAnsi="Times New Roman"/>
                <w:sz w:val="28"/>
                <w:szCs w:val="28"/>
              </w:rPr>
              <w:t xml:space="preserve">общей площадью жилых помещений не менее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37DC6">
              <w:rPr>
                <w:rFonts w:ascii="Times New Roman" w:hAnsi="Times New Roman"/>
                <w:sz w:val="28"/>
                <w:szCs w:val="28"/>
              </w:rPr>
              <w:t xml:space="preserve"> тысяч квадратных метров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(иных объектов, в том числе производственно-хозяйственного назначения)</w:t>
            </w:r>
            <w:r w:rsidRPr="00237DC6">
              <w:rPr>
                <w:rFonts w:ascii="Times New Roman" w:hAnsi="Times New Roman"/>
                <w:sz w:val="28"/>
                <w:szCs w:val="28"/>
              </w:rPr>
              <w:t xml:space="preserve"> и предоставление одной из следующих мер по защите прав пострадавших граждан на территории Республики Татарстан:</w:t>
            </w:r>
            <w:proofErr w:type="gramEnd"/>
          </w:p>
          <w:p w:rsidR="009A50D1" w:rsidRDefault="009A50D1" w:rsidP="009A50D1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14031">
              <w:rPr>
                <w:rFonts w:ascii="Times New Roman" w:hAnsi="Times New Roman"/>
                <w:sz w:val="28"/>
                <w:szCs w:val="28"/>
              </w:rPr>
              <w:t xml:space="preserve">передача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собственность пострадавших граждан </w:t>
            </w:r>
            <w:r w:rsidRPr="00237DC6">
              <w:rPr>
                <w:rFonts w:ascii="Times New Roman" w:hAnsi="Times New Roman"/>
                <w:sz w:val="28"/>
                <w:szCs w:val="28"/>
              </w:rPr>
              <w:t xml:space="preserve">жилых помещений площадью, </w:t>
            </w:r>
            <w:r w:rsidRPr="0072255E">
              <w:rPr>
                <w:rFonts w:ascii="Times New Roman" w:hAnsi="Times New Roman"/>
                <w:sz w:val="28"/>
                <w:szCs w:val="28"/>
              </w:rPr>
              <w:t>равной</w:t>
            </w:r>
            <w:r w:rsidRPr="00237DC6">
              <w:rPr>
                <w:rFonts w:ascii="Times New Roman" w:hAnsi="Times New Roman"/>
                <w:sz w:val="28"/>
                <w:szCs w:val="28"/>
              </w:rPr>
              <w:t xml:space="preserve"> не менее </w:t>
            </w:r>
            <w:r>
              <w:rPr>
                <w:rFonts w:ascii="Times New Roman" w:hAnsi="Times New Roman"/>
                <w:sz w:val="28"/>
                <w:szCs w:val="28"/>
              </w:rPr>
              <w:t>десяти</w:t>
            </w:r>
            <w:r w:rsidRPr="00237DC6">
              <w:rPr>
                <w:rFonts w:ascii="Times New Roman" w:hAnsi="Times New Roman"/>
                <w:sz w:val="28"/>
                <w:szCs w:val="28"/>
              </w:rPr>
              <w:t xml:space="preserve"> процентам общей площади жилых помещений, строительство которых предусмотрено </w:t>
            </w:r>
            <w:r w:rsidR="000F162C">
              <w:rPr>
                <w:rFonts w:ascii="Times New Roman" w:hAnsi="Times New Roman"/>
                <w:sz w:val="28"/>
                <w:szCs w:val="28"/>
              </w:rPr>
              <w:t>в рамках реализации</w:t>
            </w:r>
            <w:r w:rsidR="000F162C" w:rsidRPr="00237D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7DC6">
              <w:rPr>
                <w:rFonts w:ascii="Times New Roman" w:hAnsi="Times New Roman"/>
                <w:sz w:val="28"/>
                <w:szCs w:val="28"/>
              </w:rPr>
              <w:t>инвестиционн</w:t>
            </w:r>
            <w:r w:rsidR="000F162C"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237DC6">
              <w:rPr>
                <w:rFonts w:ascii="Times New Roman" w:hAnsi="Times New Roman"/>
                <w:sz w:val="28"/>
                <w:szCs w:val="28"/>
              </w:rPr>
              <w:t xml:space="preserve"> проект</w:t>
            </w:r>
            <w:r w:rsidR="000F162C">
              <w:rPr>
                <w:rFonts w:ascii="Times New Roman" w:hAnsi="Times New Roman"/>
                <w:sz w:val="28"/>
                <w:szCs w:val="28"/>
              </w:rPr>
              <w:t>а в части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мер по защите прав пострадавших </w:t>
            </w:r>
            <w:r w:rsidRPr="00814031">
              <w:rPr>
                <w:rFonts w:ascii="Times New Roman" w:hAnsi="Times New Roman"/>
                <w:sz w:val="28"/>
                <w:szCs w:val="28"/>
              </w:rPr>
              <w:t>граждан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72255E">
              <w:rPr>
                <w:rFonts w:ascii="Times New Roman" w:hAnsi="Times New Roman"/>
                <w:sz w:val="28"/>
                <w:szCs w:val="28"/>
              </w:rPr>
              <w:t xml:space="preserve"> перед которыми обязанности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недобросовестного застройщика </w:t>
            </w:r>
            <w:r w:rsidRPr="0072255E">
              <w:rPr>
                <w:rFonts w:ascii="Times New Roman" w:hAnsi="Times New Roman"/>
                <w:sz w:val="28"/>
                <w:szCs w:val="28"/>
              </w:rPr>
              <w:t xml:space="preserve">не могут быть выполнены ввиду отсутствия </w:t>
            </w:r>
            <w:r>
              <w:rPr>
                <w:rFonts w:ascii="Times New Roman" w:hAnsi="Times New Roman"/>
                <w:sz w:val="28"/>
                <w:szCs w:val="28"/>
              </w:rPr>
              <w:t>жилых помещений</w:t>
            </w:r>
            <w:r w:rsidRPr="0072255E">
              <w:rPr>
                <w:rFonts w:ascii="Times New Roman" w:hAnsi="Times New Roman"/>
                <w:sz w:val="28"/>
                <w:szCs w:val="28"/>
              </w:rPr>
              <w:t>,</w:t>
            </w:r>
            <w:r w:rsidRPr="008140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1482">
              <w:rPr>
                <w:rFonts w:ascii="Times New Roman" w:hAnsi="Times New Roman"/>
                <w:sz w:val="28"/>
                <w:szCs w:val="28"/>
              </w:rPr>
              <w:t>при этом рыночная стоимость предоставляемого земельного участка не может превышать общую себестоимость передаваемых жилых</w:t>
            </w:r>
            <w:proofErr w:type="gramEnd"/>
            <w:r w:rsidRPr="00521482">
              <w:rPr>
                <w:rFonts w:ascii="Times New Roman" w:hAnsi="Times New Roman"/>
                <w:sz w:val="28"/>
                <w:szCs w:val="28"/>
              </w:rPr>
              <w:t xml:space="preserve"> помещений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A50D1" w:rsidRDefault="009A50D1" w:rsidP="009A50D1">
            <w:pPr>
              <w:pStyle w:val="a3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DC6">
              <w:rPr>
                <w:rFonts w:ascii="Times New Roman" w:hAnsi="Times New Roman"/>
                <w:sz w:val="28"/>
                <w:szCs w:val="28"/>
              </w:rPr>
              <w:t xml:space="preserve">завершение строительства недостроенного </w:t>
            </w:r>
            <w:r w:rsidRPr="00521482">
              <w:rPr>
                <w:rFonts w:ascii="Times New Roman" w:hAnsi="Times New Roman"/>
                <w:sz w:val="28"/>
                <w:szCs w:val="28"/>
              </w:rPr>
              <w:t>недобросовестным застройщи</w:t>
            </w:r>
            <w:r>
              <w:rPr>
                <w:rFonts w:ascii="Times New Roman" w:hAnsi="Times New Roman"/>
                <w:sz w:val="28"/>
                <w:szCs w:val="28"/>
              </w:rPr>
              <w:t>ком</w:t>
            </w:r>
            <w:r w:rsidRPr="005214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21482">
              <w:rPr>
                <w:rFonts w:ascii="Times New Roman" w:hAnsi="Times New Roman"/>
                <w:sz w:val="28"/>
                <w:szCs w:val="28"/>
              </w:rPr>
              <w:t>многоквартир-ного</w:t>
            </w:r>
            <w:proofErr w:type="spellEnd"/>
            <w:proofErr w:type="gramEnd"/>
            <w:r w:rsidRPr="00521482">
              <w:rPr>
                <w:rFonts w:ascii="Times New Roman" w:hAnsi="Times New Roman"/>
                <w:sz w:val="28"/>
                <w:szCs w:val="28"/>
              </w:rPr>
              <w:t xml:space="preserve"> дома (многоквартирных домов), строящегося (строящихся) с привлечением денежных средств участников долевого строительства, затраты на которое составляют не менее 50 миллионов рублей, при этом рыночная стоимость предоставляемого земельного участка не может превышать </w:t>
            </w:r>
            <w:r>
              <w:rPr>
                <w:rFonts w:ascii="Times New Roman" w:hAnsi="Times New Roman"/>
                <w:sz w:val="28"/>
                <w:szCs w:val="28"/>
              </w:rPr>
              <w:t>общую сумму затрат на завершение</w:t>
            </w:r>
            <w:r w:rsidRPr="00237D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строительства </w:t>
            </w:r>
            <w:r w:rsidRPr="00237DC6">
              <w:rPr>
                <w:rFonts w:ascii="Times New Roman" w:hAnsi="Times New Roman"/>
                <w:sz w:val="28"/>
                <w:szCs w:val="28"/>
              </w:rPr>
              <w:t xml:space="preserve">недостроенного </w:t>
            </w:r>
            <w:r w:rsidRPr="00521482">
              <w:rPr>
                <w:rFonts w:ascii="Times New Roman" w:hAnsi="Times New Roman"/>
                <w:sz w:val="28"/>
                <w:szCs w:val="28"/>
              </w:rPr>
              <w:t>многоквартирного дома (многоквартирных домов).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0D1" w:rsidRDefault="009A50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50D1" w:rsidRDefault="009A50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50D1" w:rsidRDefault="009A50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50D1" w:rsidRDefault="009A50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50D1" w:rsidRDefault="009A50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50D1" w:rsidRDefault="009A50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50D1" w:rsidRDefault="009A50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50D1" w:rsidRDefault="009A50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50D1" w:rsidRDefault="009A50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50D1" w:rsidRDefault="009A50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50D1" w:rsidRDefault="009A50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50D1" w:rsidRDefault="009A50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50D1" w:rsidRDefault="009A50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50D1" w:rsidRDefault="009A50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50D1" w:rsidRDefault="009A50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50D1" w:rsidRDefault="009A50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50D1" w:rsidRDefault="009A50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50D1" w:rsidRDefault="009A50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50D1" w:rsidRDefault="009A50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50D1" w:rsidRDefault="009A50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50D1" w:rsidRDefault="009A50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50D1" w:rsidRDefault="009A50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50D1" w:rsidRDefault="009A50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50D1" w:rsidRDefault="009A50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50D1" w:rsidRDefault="009A50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50D1" w:rsidRDefault="009A50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50D1" w:rsidRDefault="009A50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50D1" w:rsidRDefault="009A50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50D1" w:rsidRDefault="009A50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50D1" w:rsidRDefault="009A50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50D1" w:rsidRDefault="009A50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50D1" w:rsidRDefault="009A50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50D1" w:rsidRDefault="009A50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50D1" w:rsidRDefault="009A50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50D1" w:rsidRDefault="009A50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</w:tbl>
    <w:p w:rsidR="009A50D1" w:rsidRDefault="009A50D1" w:rsidP="009A50D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50D1" w:rsidRDefault="009A50D1" w:rsidP="009A50D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Кабинету Министров Республики Татарстан:</w:t>
      </w:r>
    </w:p>
    <w:p w:rsidR="009A50D1" w:rsidRDefault="009A50D1" w:rsidP="009A50D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разработать и утвердить механизм реализации </w:t>
      </w:r>
      <w:r w:rsidRPr="00775D37">
        <w:rPr>
          <w:rFonts w:ascii="Times New Roman" w:hAnsi="Times New Roman"/>
          <w:sz w:val="28"/>
          <w:szCs w:val="28"/>
        </w:rPr>
        <w:t>масштабн</w:t>
      </w:r>
      <w:r>
        <w:rPr>
          <w:rFonts w:ascii="Times New Roman" w:hAnsi="Times New Roman"/>
          <w:sz w:val="28"/>
          <w:szCs w:val="28"/>
        </w:rPr>
        <w:t>ого</w:t>
      </w:r>
      <w:r w:rsidRPr="00775D37">
        <w:rPr>
          <w:rFonts w:ascii="Times New Roman" w:hAnsi="Times New Roman"/>
          <w:sz w:val="28"/>
          <w:szCs w:val="28"/>
        </w:rPr>
        <w:t xml:space="preserve"> инвестиционн</w:t>
      </w:r>
      <w:r>
        <w:rPr>
          <w:rFonts w:ascii="Times New Roman" w:hAnsi="Times New Roman"/>
          <w:sz w:val="28"/>
          <w:szCs w:val="28"/>
        </w:rPr>
        <w:t>ого</w:t>
      </w:r>
      <w:r w:rsidRPr="00775D37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>а, в соответствии с пунктом 1 настоящего Указа;</w:t>
      </w:r>
    </w:p>
    <w:p w:rsidR="009A50D1" w:rsidRDefault="009A50D1" w:rsidP="009A50D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привести свои акты в соответствие с настоящим Указом, а также принять иные решения, обеспечивающие его реализацию.</w:t>
      </w:r>
    </w:p>
    <w:p w:rsidR="009A50D1" w:rsidRDefault="009A50D1" w:rsidP="009A50D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Настоящий Указ вступает в силу со дня его подписания.</w:t>
      </w:r>
    </w:p>
    <w:p w:rsidR="009A50D1" w:rsidRDefault="009A50D1" w:rsidP="009A50D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50D1" w:rsidRDefault="009A50D1" w:rsidP="009A50D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50D1" w:rsidRDefault="009A50D1" w:rsidP="009A50D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9A50D1" w:rsidTr="009A50D1">
        <w:tc>
          <w:tcPr>
            <w:tcW w:w="3227" w:type="dxa"/>
            <w:hideMark/>
          </w:tcPr>
          <w:p w:rsidR="009A50D1" w:rsidRDefault="009A50D1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ind w:right="-1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Президент</w:t>
            </w:r>
          </w:p>
          <w:p w:rsidR="009A50D1" w:rsidRDefault="009A50D1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ind w:right="-19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Республики Татарстан</w:t>
            </w:r>
          </w:p>
        </w:tc>
        <w:tc>
          <w:tcPr>
            <w:tcW w:w="6343" w:type="dxa"/>
          </w:tcPr>
          <w:p w:rsidR="009A50D1" w:rsidRDefault="009A50D1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ind w:right="-19"/>
              <w:jc w:val="both"/>
              <w:rPr>
                <w:b/>
                <w:sz w:val="28"/>
                <w:szCs w:val="28"/>
              </w:rPr>
            </w:pPr>
          </w:p>
          <w:p w:rsidR="009A50D1" w:rsidRDefault="009A50D1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ind w:right="-19"/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Р.Н. </w:t>
            </w:r>
            <w:proofErr w:type="spellStart"/>
            <w:r>
              <w:rPr>
                <w:b/>
                <w:sz w:val="28"/>
                <w:szCs w:val="28"/>
              </w:rPr>
              <w:t>Минниханов</w:t>
            </w:r>
            <w:proofErr w:type="spellEnd"/>
          </w:p>
        </w:tc>
      </w:tr>
    </w:tbl>
    <w:p w:rsidR="009A50D1" w:rsidRDefault="009A50D1" w:rsidP="009A50D1">
      <w:pPr>
        <w:ind w:right="169"/>
        <w:jc w:val="both"/>
        <w:rPr>
          <w:sz w:val="28"/>
          <w:szCs w:val="28"/>
        </w:rPr>
      </w:pPr>
    </w:p>
    <w:p w:rsidR="00B727C6" w:rsidRDefault="00B727C6"/>
    <w:sectPr w:rsidR="00B727C6" w:rsidSect="00B72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0D1"/>
    <w:rsid w:val="000F162C"/>
    <w:rsid w:val="008C392B"/>
    <w:rsid w:val="009A50D1"/>
    <w:rsid w:val="00B727C6"/>
    <w:rsid w:val="00EB235D"/>
    <w:rsid w:val="00EE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A50D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A50D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A50D1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50D1"/>
    <w:rPr>
      <w:rFonts w:ascii="Tahoma" w:eastAsia="Times New Roman" w:hAnsi="Tahoma" w:cs="Times New Roman"/>
      <w:sz w:val="16"/>
      <w:szCs w:val="16"/>
    </w:rPr>
  </w:style>
  <w:style w:type="character" w:styleId="a6">
    <w:name w:val="Hyperlink"/>
    <w:uiPriority w:val="99"/>
    <w:semiHidden/>
    <w:unhideWhenUsed/>
    <w:rsid w:val="00EB23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A50D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A50D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A50D1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50D1"/>
    <w:rPr>
      <w:rFonts w:ascii="Tahoma" w:eastAsia="Times New Roman" w:hAnsi="Tahoma" w:cs="Times New Roman"/>
      <w:sz w:val="16"/>
      <w:szCs w:val="16"/>
    </w:rPr>
  </w:style>
  <w:style w:type="character" w:styleId="a6">
    <w:name w:val="Hyperlink"/>
    <w:uiPriority w:val="99"/>
    <w:semiHidden/>
    <w:unhideWhenUsed/>
    <w:rsid w:val="00EB23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7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na.Evchenko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Evchenko-IG</dc:creator>
  <cp:lastModifiedBy>Musina_AF1</cp:lastModifiedBy>
  <cp:revision>3</cp:revision>
  <cp:lastPrinted>2016-09-22T14:18:00Z</cp:lastPrinted>
  <dcterms:created xsi:type="dcterms:W3CDTF">2016-09-28T14:57:00Z</dcterms:created>
  <dcterms:modified xsi:type="dcterms:W3CDTF">2016-09-28T15:37:00Z</dcterms:modified>
</cp:coreProperties>
</file>