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60841" w:rsidRPr="00F60841" w:rsidRDefault="00F60841" w:rsidP="00F60841">
      <w:pPr>
        <w:jc w:val="center"/>
        <w:rPr>
          <w:i/>
          <w:color w:val="FF0000"/>
          <w:sz w:val="28"/>
          <w:szCs w:val="28"/>
          <w:u w:val="single"/>
        </w:rPr>
      </w:pPr>
      <w:r w:rsidRPr="00F60841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60841" w:rsidRPr="00F60841" w:rsidRDefault="00F60841" w:rsidP="00F60841">
      <w:pPr>
        <w:jc w:val="center"/>
        <w:rPr>
          <w:i/>
          <w:color w:val="FF0000"/>
          <w:sz w:val="28"/>
          <w:szCs w:val="28"/>
          <w:u w:val="single"/>
        </w:rPr>
      </w:pPr>
      <w:r w:rsidRPr="00F60841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60841" w:rsidRPr="00F60841" w:rsidRDefault="00F60841" w:rsidP="00F60841">
      <w:pPr>
        <w:jc w:val="center"/>
        <w:rPr>
          <w:i/>
          <w:color w:val="FF0000"/>
          <w:sz w:val="28"/>
          <w:szCs w:val="28"/>
          <w:u w:val="single"/>
        </w:rPr>
      </w:pPr>
      <w:r w:rsidRPr="00F60841">
        <w:rPr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F60841" w:rsidRPr="00F60841" w:rsidRDefault="00F60841" w:rsidP="00F60841">
      <w:pPr>
        <w:jc w:val="center"/>
        <w:rPr>
          <w:i/>
          <w:color w:val="FF0000"/>
          <w:sz w:val="28"/>
          <w:szCs w:val="28"/>
          <w:u w:val="single"/>
        </w:rPr>
      </w:pPr>
      <w:r w:rsidRPr="00F60841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F60841" w:rsidRPr="00F60841" w:rsidRDefault="00F60841" w:rsidP="00F60841">
      <w:pPr>
        <w:jc w:val="center"/>
        <w:rPr>
          <w:i/>
          <w:color w:val="FF0000"/>
          <w:sz w:val="28"/>
          <w:szCs w:val="28"/>
          <w:u w:val="single"/>
        </w:rPr>
      </w:pPr>
      <w:r w:rsidRPr="00F60841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F60841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F60841">
        <w:rPr>
          <w:i/>
          <w:color w:val="FF0000"/>
          <w:sz w:val="28"/>
          <w:szCs w:val="28"/>
          <w:u w:val="single"/>
        </w:rPr>
        <w:t>)</w:t>
      </w:r>
    </w:p>
    <w:p w:rsidR="00F60841" w:rsidRPr="004F6268" w:rsidRDefault="00F60841" w:rsidP="00F60841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15A9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549A5" w:rsidRPr="00E549A5">
        <w:rPr>
          <w:sz w:val="28"/>
          <w:szCs w:val="20"/>
        </w:rPr>
        <w:t>Лениногорском</w:t>
      </w:r>
      <w:r w:rsidR="00E549A5">
        <w:rPr>
          <w:sz w:val="28"/>
          <w:szCs w:val="20"/>
        </w:rPr>
        <w:t xml:space="preserve"> </w:t>
      </w:r>
      <w:r w:rsidR="00822C36">
        <w:rPr>
          <w:sz w:val="28"/>
          <w:szCs w:val="20"/>
        </w:rPr>
        <w:t>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B976A8">
      <w:pPr>
        <w:spacing w:line="276" w:lineRule="auto"/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976A8">
      <w:pPr>
        <w:spacing w:line="276" w:lineRule="auto"/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415A97">
        <w:rPr>
          <w:sz w:val="28"/>
        </w:rPr>
        <w:t>ый</w:t>
      </w:r>
      <w:r w:rsidR="004F6268" w:rsidRPr="00B6542B">
        <w:rPr>
          <w:sz w:val="28"/>
        </w:rPr>
        <w:t xml:space="preserve"> участ</w:t>
      </w:r>
      <w:r w:rsidR="00415A97">
        <w:rPr>
          <w:sz w:val="28"/>
        </w:rPr>
        <w:t>ок</w:t>
      </w:r>
      <w:r w:rsidR="004F6268" w:rsidRPr="00B6542B">
        <w:rPr>
          <w:sz w:val="28"/>
        </w:rPr>
        <w:t xml:space="preserve"> сельскохозяйственного назначения </w:t>
      </w:r>
      <w:r w:rsidR="00415A97">
        <w:rPr>
          <w:sz w:val="28"/>
        </w:rPr>
        <w:t xml:space="preserve">                            с кадастровым номером 16:</w:t>
      </w:r>
      <w:r w:rsidR="00E549A5">
        <w:rPr>
          <w:sz w:val="28"/>
        </w:rPr>
        <w:t>25</w:t>
      </w:r>
      <w:r w:rsidR="00415A97">
        <w:rPr>
          <w:sz w:val="28"/>
        </w:rPr>
        <w:t>:</w:t>
      </w:r>
      <w:r w:rsidR="00E549A5">
        <w:rPr>
          <w:sz w:val="28"/>
        </w:rPr>
        <w:t>060302</w:t>
      </w:r>
      <w:r w:rsidR="00415A97">
        <w:rPr>
          <w:sz w:val="28"/>
        </w:rPr>
        <w:t>:</w:t>
      </w:r>
      <w:r w:rsidR="00E549A5">
        <w:rPr>
          <w:sz w:val="28"/>
        </w:rPr>
        <w:t>443</w:t>
      </w:r>
      <w:r w:rsidR="005A0EA4" w:rsidRPr="00B6542B">
        <w:rPr>
          <w:sz w:val="28"/>
        </w:rPr>
        <w:t xml:space="preserve"> площадью</w:t>
      </w:r>
      <w:r w:rsidR="00B94212" w:rsidRPr="00B6542B">
        <w:rPr>
          <w:sz w:val="28"/>
        </w:rPr>
        <w:t xml:space="preserve"> </w:t>
      </w:r>
      <w:r w:rsidR="00E549A5">
        <w:rPr>
          <w:sz w:val="28"/>
        </w:rPr>
        <w:t>14,5797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</w:t>
      </w:r>
      <w:r w:rsidR="008C044B">
        <w:rPr>
          <w:sz w:val="28"/>
        </w:rPr>
        <w:t>а</w:t>
      </w:r>
      <w:r w:rsidR="004F6268" w:rsidRPr="00B6542B">
        <w:rPr>
          <w:sz w:val="28"/>
        </w:rPr>
        <w:t>, расположенны</w:t>
      </w:r>
      <w:r w:rsidR="00415A97">
        <w:rPr>
          <w:sz w:val="28"/>
        </w:rPr>
        <w:t>й</w:t>
      </w:r>
      <w:r w:rsidR="00B6542B" w:rsidRPr="00B6542B">
        <w:rPr>
          <w:sz w:val="28"/>
        </w:rPr>
        <w:t xml:space="preserve"> в </w:t>
      </w:r>
      <w:r w:rsidR="00E549A5" w:rsidRPr="00E549A5">
        <w:rPr>
          <w:sz w:val="28"/>
          <w:szCs w:val="20"/>
        </w:rPr>
        <w:t>Лениногорском</w:t>
      </w:r>
      <w:r w:rsidR="00822C36">
        <w:rPr>
          <w:sz w:val="28"/>
          <w:szCs w:val="20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bookmarkStart w:id="0" w:name="_GoBack"/>
      <w:bookmarkEnd w:id="0"/>
    </w:p>
    <w:p w:rsidR="004F6268" w:rsidRPr="004F6268" w:rsidRDefault="004F6268" w:rsidP="00C02029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415A97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549A5" w:rsidRPr="00E549A5">
        <w:rPr>
          <w:sz w:val="28"/>
          <w:szCs w:val="20"/>
        </w:rPr>
        <w:t>Лениногорском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15A9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E549A5">
        <w:rPr>
          <w:color w:val="000000"/>
          <w:sz w:val="28"/>
          <w:szCs w:val="28"/>
        </w:rPr>
        <w:t>14,5797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разведки и добычи </w:t>
      </w:r>
      <w:r w:rsidR="00E549A5">
        <w:rPr>
          <w:sz w:val="28"/>
          <w:szCs w:val="28"/>
        </w:rPr>
        <w:t>известняков</w:t>
      </w:r>
      <w:r w:rsidR="008C044B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на </w:t>
      </w:r>
      <w:r w:rsidR="008C044B">
        <w:rPr>
          <w:sz w:val="28"/>
          <w:szCs w:val="28"/>
        </w:rPr>
        <w:t>месторождении</w:t>
      </w:r>
      <w:r w:rsidR="00415A97">
        <w:rPr>
          <w:sz w:val="28"/>
          <w:szCs w:val="28"/>
        </w:rPr>
        <w:t xml:space="preserve"> «</w:t>
      </w:r>
      <w:r w:rsidR="00E549A5">
        <w:rPr>
          <w:sz w:val="28"/>
          <w:szCs w:val="28"/>
        </w:rPr>
        <w:t>Южно-Сугушлинское</w:t>
      </w:r>
      <w:r w:rsidR="00415A97">
        <w:rPr>
          <w:sz w:val="28"/>
          <w:szCs w:val="28"/>
        </w:rPr>
        <w:t>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границах </w:t>
      </w:r>
      <w:r w:rsidR="00E549A5">
        <w:rPr>
          <w:sz w:val="28"/>
          <w:szCs w:val="20"/>
        </w:rPr>
        <w:t>Лениногорск</w:t>
      </w:r>
      <w:r w:rsidR="00415A97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D15ACB" w:rsidRDefault="00D15ACB" w:rsidP="00D15ACB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</w:t>
      </w:r>
      <w:r w:rsidR="00E549A5">
        <w:rPr>
          <w:sz w:val="28"/>
          <w:szCs w:val="28"/>
        </w:rPr>
        <w:t>14,5797</w:t>
      </w:r>
      <w:r>
        <w:rPr>
          <w:sz w:val="28"/>
          <w:szCs w:val="28"/>
        </w:rPr>
        <w:t> гектара находится в собственности</w:t>
      </w:r>
      <w:r w:rsidR="00E549A5">
        <w:rPr>
          <w:sz w:val="28"/>
          <w:szCs w:val="28"/>
        </w:rPr>
        <w:t xml:space="preserve"> </w:t>
      </w:r>
      <w:r w:rsidR="00CE3125">
        <w:rPr>
          <w:sz w:val="28"/>
          <w:szCs w:val="28"/>
        </w:rPr>
        <w:t>м</w:t>
      </w:r>
      <w:r w:rsidR="00E549A5">
        <w:rPr>
          <w:sz w:val="28"/>
          <w:szCs w:val="28"/>
        </w:rPr>
        <w:t>униципального образования «Лениногорский муниципальный район» Республики Татарстан, предоставлен на праве сервитута АО «Транснефть-Прикамье»</w:t>
      </w:r>
      <w:r>
        <w:rPr>
          <w:sz w:val="28"/>
          <w:szCs w:val="28"/>
        </w:rPr>
        <w:t>.</w:t>
      </w:r>
    </w:p>
    <w:p w:rsidR="00B976A8" w:rsidRDefault="00B976A8" w:rsidP="00B976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 xml:space="preserve">ТАТ </w:t>
      </w:r>
      <w:r w:rsidR="00E549A5">
        <w:rPr>
          <w:sz w:val="28"/>
          <w:szCs w:val="28"/>
        </w:rPr>
        <w:t>ЛНГ</w:t>
      </w:r>
      <w:r>
        <w:rPr>
          <w:sz w:val="28"/>
          <w:szCs w:val="28"/>
        </w:rPr>
        <w:t xml:space="preserve">                           </w:t>
      </w:r>
      <w:r w:rsidRPr="002E731B">
        <w:rPr>
          <w:sz w:val="28"/>
          <w:szCs w:val="28"/>
        </w:rPr>
        <w:t xml:space="preserve">№ </w:t>
      </w:r>
      <w:r w:rsidR="00E549A5">
        <w:rPr>
          <w:sz w:val="28"/>
          <w:szCs w:val="28"/>
        </w:rPr>
        <w:t>02275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E549A5">
        <w:rPr>
          <w:sz w:val="28"/>
          <w:szCs w:val="28"/>
        </w:rPr>
        <w:t>Р</w:t>
      </w:r>
      <w:r>
        <w:rPr>
          <w:sz w:val="28"/>
          <w:szCs w:val="28"/>
        </w:rPr>
        <w:t xml:space="preserve"> от </w:t>
      </w:r>
      <w:r w:rsidR="00E549A5">
        <w:rPr>
          <w:sz w:val="28"/>
          <w:szCs w:val="28"/>
        </w:rPr>
        <w:t>18.11.2019</w:t>
      </w:r>
      <w:r>
        <w:rPr>
          <w:sz w:val="28"/>
          <w:szCs w:val="28"/>
        </w:rPr>
        <w:t>, выданной ООО «</w:t>
      </w:r>
      <w:r w:rsidR="00E549A5">
        <w:rPr>
          <w:sz w:val="28"/>
          <w:szCs w:val="28"/>
        </w:rPr>
        <w:t>Южно-Сугушлинское месторождение известняков</w:t>
      </w:r>
      <w:r>
        <w:rPr>
          <w:sz w:val="28"/>
          <w:szCs w:val="28"/>
        </w:rPr>
        <w:t>»</w:t>
      </w:r>
      <w:r w:rsidR="00CE3125">
        <w:rPr>
          <w:sz w:val="28"/>
          <w:szCs w:val="28"/>
        </w:rPr>
        <w:t>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E549A5">
        <w:rPr>
          <w:sz w:val="28"/>
          <w:szCs w:val="28"/>
        </w:rPr>
        <w:t>28.05.2049</w:t>
      </w:r>
      <w:r>
        <w:rPr>
          <w:sz w:val="28"/>
          <w:szCs w:val="28"/>
        </w:rPr>
        <w:t>.</w:t>
      </w:r>
    </w:p>
    <w:p w:rsidR="00B976A8" w:rsidRDefault="00B976A8" w:rsidP="00B976A8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>В соответствии с поручением Президента Респуб</w:t>
      </w:r>
      <w:r>
        <w:rPr>
          <w:sz w:val="28"/>
          <w:szCs w:val="28"/>
        </w:rPr>
        <w:t xml:space="preserve">лики Татарстан Р.Н.Минниханова </w:t>
      </w:r>
      <w:r w:rsidRPr="0067245A">
        <w:rPr>
          <w:sz w:val="28"/>
          <w:szCs w:val="28"/>
        </w:rPr>
        <w:t xml:space="preserve">вн-7117-МР от 24 ноября 2020 года перевод земельных участков в земли промышленности для дальнейшего размещения карьеров при отображении данных объектов в документах территориального планирования на основании выданных в установленном порядке лицензий на пользование недрами и горноотводных актов осуществляется без дополнительного согласования с Администрацией Президента Республики Татарстан. </w:t>
      </w:r>
    </w:p>
    <w:p w:rsidR="0059009B" w:rsidRDefault="0059009B" w:rsidP="00C0202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>руков</w:t>
      </w:r>
      <w:r w:rsidR="00D15ACB">
        <w:rPr>
          <w:sz w:val="28"/>
          <w:szCs w:val="28"/>
        </w:rPr>
        <w:t xml:space="preserve">одителя исполнительного комитета </w:t>
      </w:r>
      <w:r w:rsidR="00715D62">
        <w:rPr>
          <w:sz w:val="28"/>
          <w:szCs w:val="28"/>
        </w:rPr>
        <w:t>Лениногорского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715D62">
        <w:rPr>
          <w:sz w:val="28"/>
          <w:szCs w:val="28"/>
        </w:rPr>
        <w:t>З.Г.Михайловой</w:t>
      </w:r>
      <w:r w:rsidR="001C2A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 недропользования на земельн</w:t>
      </w:r>
      <w:r w:rsidR="00FF0E74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F0E74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715D62">
        <w:rPr>
          <w:sz w:val="28"/>
          <w:szCs w:val="28"/>
        </w:rPr>
        <w:t>14,5797</w:t>
      </w:r>
      <w:r w:rsidR="00D15ACB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предусмотрено генеральным планом </w:t>
      </w:r>
      <w:r w:rsidR="00715D62">
        <w:rPr>
          <w:sz w:val="28"/>
          <w:szCs w:val="28"/>
        </w:rPr>
        <w:t>Сугушлинского</w:t>
      </w:r>
      <w:r>
        <w:rPr>
          <w:sz w:val="28"/>
          <w:szCs w:val="28"/>
        </w:rPr>
        <w:t xml:space="preserve"> сельского поселения </w:t>
      </w:r>
      <w:r w:rsidR="00715D62">
        <w:rPr>
          <w:sz w:val="28"/>
          <w:szCs w:val="28"/>
        </w:rPr>
        <w:t xml:space="preserve">Лениногорского </w:t>
      </w:r>
      <w:r>
        <w:rPr>
          <w:sz w:val="28"/>
          <w:szCs w:val="28"/>
        </w:rPr>
        <w:t xml:space="preserve">муниципального района Республики Татарстан, утвержденным решением Совета муниципального </w:t>
      </w:r>
      <w:r w:rsidR="00715D62">
        <w:rPr>
          <w:sz w:val="28"/>
          <w:szCs w:val="28"/>
        </w:rPr>
        <w:t xml:space="preserve">образования «Лениногорский муниципальный район» </w:t>
      </w:r>
      <w:r>
        <w:rPr>
          <w:sz w:val="28"/>
          <w:szCs w:val="28"/>
        </w:rPr>
        <w:t xml:space="preserve">Республики Татарстан от </w:t>
      </w:r>
      <w:r w:rsidR="00715D62">
        <w:rPr>
          <w:sz w:val="28"/>
          <w:szCs w:val="28"/>
        </w:rPr>
        <w:t>20.05.2021</w:t>
      </w:r>
      <w:r>
        <w:rPr>
          <w:sz w:val="28"/>
          <w:szCs w:val="28"/>
        </w:rPr>
        <w:t xml:space="preserve"> № </w:t>
      </w:r>
      <w:r w:rsidR="00715D62">
        <w:rPr>
          <w:sz w:val="28"/>
          <w:szCs w:val="28"/>
        </w:rPr>
        <w:t>25</w:t>
      </w:r>
      <w:r w:rsidR="00F4276C">
        <w:rPr>
          <w:sz w:val="28"/>
          <w:szCs w:val="28"/>
        </w:rPr>
        <w:t>.</w:t>
      </w:r>
    </w:p>
    <w:p w:rsidR="0052437B" w:rsidRPr="00B5338E" w:rsidRDefault="00785422" w:rsidP="004A43A6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27B" w:rsidRDefault="001B327B" w:rsidP="00341377">
      <w:r>
        <w:separator/>
      </w:r>
    </w:p>
  </w:endnote>
  <w:endnote w:type="continuationSeparator" w:id="0">
    <w:p w:rsidR="001B327B" w:rsidRDefault="001B327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27B" w:rsidRDefault="001B327B" w:rsidP="00341377">
      <w:r>
        <w:separator/>
      </w:r>
    </w:p>
  </w:footnote>
  <w:footnote w:type="continuationSeparator" w:id="0">
    <w:p w:rsidR="001B327B" w:rsidRDefault="001B327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57A8F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327B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43A6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276C"/>
    <w:rsid w:val="00F45A1B"/>
    <w:rsid w:val="00F54DFB"/>
    <w:rsid w:val="00F5617C"/>
    <w:rsid w:val="00F60841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A53349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A908-F368-48EF-AD9D-9A9B56B6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22</cp:revision>
  <cp:lastPrinted>2023-02-03T06:30:00Z</cp:lastPrinted>
  <dcterms:created xsi:type="dcterms:W3CDTF">2022-03-04T12:25:00Z</dcterms:created>
  <dcterms:modified xsi:type="dcterms:W3CDTF">2023-02-21T13:53:00Z</dcterms:modified>
</cp:coreProperties>
</file>